
<file path=[Content_Types].xml><?xml version="1.0" encoding="utf-8"?>
<Types xmlns="http://schemas.openxmlformats.org/package/2006/content-types">
  <Default Extension="jpg" ContentType="image/jpeg"/>
  <Default Extension="bin" ContentType="application/vnd.openxmlformats-officedocument.oleObject"/>
  <Default Extension="jpeg" ContentType="image/jpeg"/>
  <Default Extension="rels" ContentType="application/vnd.openxmlformats-package.relationships+xml"/>
  <Default Extension="xml" ContentType="application/xml"/>
  <Default Extension="png" ContentType="image/png"/>
  <Default Extension="wmf" ContentType="image/x-wmf"/>
  <Override PartName="/word/document.xml" ContentType="application/vnd.openxmlformats-officedocument.wordprocessingml.document.main+xml"/>
  <Override PartName="/word/endnotes.xml" ContentType="application/vnd.openxmlformats-officedocument.wordprocessingml.endnotes+xml"/>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761"/>
        <w:pBdr/>
        <w:spacing/>
        <w:ind w:left="142"/>
        <w:rPr>
          <w:sz w:val="17"/>
        </w:rPr>
      </w:pPr>
      <w:r>
        <w:rPr>
          <w:sz w:val="17"/>
        </w:rPr>
      </w:r>
      <w:r>
        <w:rPr>
          <w:sz w:val="17"/>
        </w:rPr>
      </w:r>
    </w:p>
    <w:p w14:paraId="5529B750">
      <w:pPr>
        <w:pStyle w:val="761"/>
        <w:pBdr/>
        <w:spacing w:line="276" w:lineRule="auto"/>
        <w:ind/>
        <w:jc w:val="center"/>
        <w:rPr>
          <w:rFonts w:ascii="Arial" w:hAnsi="Arial" w:eastAsia="Arial" w:cs="Arial"/>
          <w:b/>
          <w:bCs/>
          <w:color w:val="auto"/>
          <w:sz w:val="24"/>
          <w:szCs w:val="24"/>
          <w:highlight w:val="none"/>
        </w:rPr>
      </w:pPr>
      <w:r>
        <w:rPr>
          <w:rFonts w:ascii="Arial" w:hAnsi="Arial" w:eastAsia="Arial" w:cs="Arial"/>
          <w:b/>
          <w:bCs/>
          <w:color w:val="auto"/>
          <w:sz w:val="24"/>
          <w:szCs w:val="24"/>
          <w:lang w:val="es-AR"/>
        </w:rPr>
        <w:t xml:space="preserve">Informe técnico de participación institucional en COPUCI 2026</w:t>
      </w:r>
      <w:r>
        <w:rPr>
          <w:rFonts w:ascii="Arial" w:hAnsi="Arial" w:eastAsia="Arial" w:cs="Arial"/>
          <w:b/>
          <w:bCs/>
          <w:color w:val="auto"/>
          <w:sz w:val="24"/>
          <w:szCs w:val="24"/>
        </w:rPr>
      </w:r>
      <w:r>
        <w:rPr>
          <w:rFonts w:ascii="Arial" w:hAnsi="Arial" w:cs="Arial"/>
          <w:b/>
          <w:bCs/>
          <w:color w:val="auto"/>
          <w:sz w:val="24"/>
          <w:szCs w:val="24"/>
        </w:rPr>
      </w:r>
    </w:p>
    <w:p w14:paraId="158478F5">
      <w:pPr>
        <w:pStyle w:val="761"/>
        <w:pBdr/>
        <w:spacing w:line="276" w:lineRule="auto"/>
        <w:ind/>
        <w:jc w:val="center"/>
        <w:rPr>
          <w:rFonts w:ascii="Arial" w:hAnsi="Arial" w:cs="Arial"/>
          <w:b/>
          <w:bCs/>
          <w:color w:val="auto"/>
          <w:sz w:val="24"/>
          <w:szCs w:val="24"/>
        </w:rPr>
      </w:pPr>
      <w:r>
        <w:rPr>
          <w:rFonts w:ascii="Arial" w:hAnsi="Arial" w:eastAsia="Arial" w:cs="Arial"/>
          <w:b/>
          <w:bCs/>
          <w:color w:val="auto"/>
          <w:sz w:val="24"/>
          <w:szCs w:val="24"/>
          <w:highlight w:val="none"/>
        </w:rPr>
      </w:r>
      <w:r>
        <w:rPr>
          <w:rFonts w:ascii="Arial" w:hAnsi="Arial" w:eastAsia="Arial" w:cs="Arial"/>
          <w:b/>
          <w:bCs/>
          <w:color w:val="auto"/>
          <w:sz w:val="24"/>
          <w:szCs w:val="24"/>
          <w:highlight w:val="none"/>
        </w:rPr>
      </w:r>
      <w:r>
        <w:rPr>
          <w:rFonts w:ascii="Arial" w:hAnsi="Arial" w:eastAsia="Arial" w:cs="Arial"/>
          <w:b/>
          <w:bCs/>
          <w:color w:val="auto"/>
          <w:sz w:val="24"/>
          <w:szCs w:val="24"/>
          <w:highlight w:val="none"/>
        </w:rPr>
      </w:r>
    </w:p>
    <w:p w14:paraId="390E1088">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Entre los días 13 y 15 de</w:t>
      </w:r>
      <w:r>
        <w:rPr>
          <w:rFonts w:ascii="Arial" w:hAnsi="Arial" w:eastAsia="Arial" w:cs="Arial"/>
          <w:color w:val="auto"/>
          <w:sz w:val="22"/>
          <w:szCs w:val="22"/>
          <w:lang w:val="es-AR"/>
        </w:rPr>
        <w:t xml:space="preserve"> mayo del corriente año, participamos en representación de la Estación Experimental Agroindustrial Obispo Colombres en el X Congreso Internacional de Comunicación Pública de la Ciencia y Tecnología, realizado en la ciudad de Rosario, provincia de Santa Fe.</w:t>
      </w:r>
      <w:r>
        <w:rPr>
          <w:rFonts w:ascii="Arial" w:hAnsi="Arial" w:eastAsia="Arial" w:cs="Arial"/>
          <w:color w:val="auto"/>
          <w:sz w:val="22"/>
          <w:szCs w:val="22"/>
        </w:rPr>
      </w:r>
      <w:r>
        <w:rPr>
          <w:rFonts w:ascii="Arial" w:hAnsi="Arial" w:eastAsia="Arial" w:cs="Arial"/>
          <w:color w:val="auto"/>
          <w:sz w:val="22"/>
          <w:szCs w:val="22"/>
        </w:rPr>
      </w:r>
    </w:p>
    <w:p w14:paraId="1320365A">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La edición 2026 del congreso se desarrolló bajo el lema “De l</w:t>
      </w:r>
      <w:r>
        <w:rPr>
          <w:rFonts w:ascii="Arial" w:hAnsi="Arial" w:eastAsia="Arial" w:cs="Arial"/>
          <w:color w:val="auto"/>
          <w:sz w:val="22"/>
          <w:szCs w:val="22"/>
          <w:lang w:val="es-AR"/>
        </w:rPr>
        <w:t xml:space="preserve">as ideas innovadoras a las prácticas sostenidas”, con eje en la comunicación pública de la ciencia como campo profesional, dimensión de gestión institucional y práctica estratégica para el vínculo entre los organismos científico-tecnológicos y la sociedad.</w:t>
      </w:r>
      <w:r>
        <w:rPr>
          <w:rFonts w:ascii="Arial" w:hAnsi="Arial" w:eastAsia="Arial" w:cs="Arial"/>
          <w:color w:val="auto"/>
          <w:sz w:val="22"/>
          <w:szCs w:val="22"/>
        </w:rPr>
      </w:r>
      <w:r>
        <w:rPr>
          <w:rFonts w:ascii="Arial" w:hAnsi="Arial" w:eastAsia="Arial" w:cs="Arial"/>
          <w:color w:val="auto"/>
          <w:sz w:val="22"/>
          <w:szCs w:val="22"/>
        </w:rPr>
      </w:r>
    </w:p>
    <w:p w14:paraId="19ED5616">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La participación tuvo como propósito prin</w:t>
      </w:r>
      <w:r>
        <w:rPr>
          <w:rFonts w:ascii="Arial" w:hAnsi="Arial" w:eastAsia="Arial" w:cs="Arial"/>
          <w:color w:val="auto"/>
          <w:sz w:val="22"/>
          <w:szCs w:val="22"/>
          <w:lang w:val="es-AR"/>
        </w:rPr>
        <w:t xml:space="preserve">cipal actualizar conocimientos, relevar enfoques actuales y conocer experiencias institucionales, educativas, periodísticas y digitales vinculadas con la comunicación pública de las ciencias. En ese marco, las actividades realizadas permitieron tomar conta</w:t>
      </w:r>
      <w:r>
        <w:rPr>
          <w:rFonts w:ascii="Arial" w:hAnsi="Arial" w:eastAsia="Arial" w:cs="Arial"/>
          <w:color w:val="auto"/>
          <w:sz w:val="22"/>
          <w:szCs w:val="22"/>
          <w:lang w:val="es-AR"/>
        </w:rPr>
        <w:t xml:space="preserve">cto con debates contemporáneos sobre gestión institucional, comunicación de procesos científicos, uso responsable de inteligencia artificial, narrativas digitales, educomunicación, accesibilidad, participación ciudadana y construcción de confianza pública.</w:t>
      </w:r>
      <w:r>
        <w:rPr>
          <w:rFonts w:ascii="Arial" w:hAnsi="Arial" w:eastAsia="Arial" w:cs="Arial"/>
          <w:color w:val="auto"/>
          <w:sz w:val="22"/>
          <w:szCs w:val="22"/>
        </w:rPr>
      </w:r>
      <w:r>
        <w:rPr>
          <w:rFonts w:ascii="Arial" w:hAnsi="Arial" w:eastAsia="Arial" w:cs="Arial"/>
          <w:color w:val="auto"/>
          <w:sz w:val="22"/>
          <w:szCs w:val="22"/>
        </w:rPr>
      </w:r>
    </w:p>
    <w:p w14:paraId="60E0F9D4">
      <w:pPr>
        <w:pStyle w:val="139"/>
        <w:pBdr/>
        <w:spacing w:line="276" w:lineRule="auto"/>
        <w:ind/>
        <w:rPr>
          <w:rFonts w:ascii="Arial" w:hAnsi="Arial" w:cs="Arial"/>
          <w:b/>
          <w:bCs/>
          <w:color w:val="auto"/>
          <w:sz w:val="22"/>
          <w:szCs w:val="22"/>
        </w:rPr>
      </w:pPr>
      <w:r>
        <w:rPr>
          <w:rFonts w:ascii="Arial" w:hAnsi="Arial" w:eastAsia="Arial" w:cs="Arial"/>
          <w:b/>
          <w:bCs/>
          <w:color w:val="auto"/>
          <w:sz w:val="22"/>
          <w:szCs w:val="22"/>
          <w:lang w:val="es-AR"/>
        </w:rPr>
        <w:t xml:space="preserve">Actividades desarrolladas</w:t>
      </w:r>
      <w:r>
        <w:rPr>
          <w:rFonts w:ascii="Arial" w:hAnsi="Arial" w:eastAsia="Arial" w:cs="Arial"/>
          <w:b/>
          <w:bCs/>
          <w:color w:val="auto"/>
          <w:sz w:val="22"/>
          <w:szCs w:val="22"/>
        </w:rPr>
      </w:r>
      <w:r>
        <w:rPr>
          <w:rFonts w:ascii="Arial" w:hAnsi="Arial" w:eastAsia="Arial" w:cs="Arial"/>
          <w:b/>
          <w:bCs/>
          <w:color w:val="auto"/>
          <w:sz w:val="22"/>
          <w:szCs w:val="22"/>
        </w:rPr>
      </w:r>
    </w:p>
    <w:p w14:paraId="2056E7B2">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Durante el congreso participamos de un conjunto de instancias formativas, paneles centrales, mesas de ponencias y espacios de intercambio profesional que permitieron abordar la comunicación pública de la ciencia desde distintas perspectivas: institucional,</w:t>
      </w:r>
      <w:r>
        <w:rPr>
          <w:rFonts w:ascii="Arial" w:hAnsi="Arial" w:eastAsia="Arial" w:cs="Arial"/>
          <w:color w:val="000000"/>
          <w:sz w:val="22"/>
          <w:szCs w:val="22"/>
          <w:lang w:val="es-AR"/>
        </w:rPr>
        <w:t xml:space="preserve"> conceptual, periodística, educativa, digital y cultural.</w:t>
      </w:r>
      <w:r>
        <w:rPr>
          <w:rFonts w:ascii="Arial" w:hAnsi="Arial" w:eastAsia="Arial" w:cs="Arial"/>
          <w:sz w:val="22"/>
          <w:szCs w:val="22"/>
        </w:rPr>
      </w:r>
      <w:r>
        <w:rPr>
          <w:rFonts w:ascii="Arial" w:hAnsi="Arial" w:eastAsia="Arial" w:cs="Arial"/>
          <w:sz w:val="22"/>
          <w:szCs w:val="22"/>
        </w:rPr>
      </w:r>
    </w:p>
    <w:p w14:paraId="0288CF84">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El acto inaugural y los primeros paneles situaron el lema de esta edición —“De las ideas innovadoras a las prácticas sostenidas”— como una invitación a pensar la comunicación científica más allá de acciones aisladas. En especial, el panel “La comunicación </w:t>
      </w:r>
      <w:r>
        <w:rPr>
          <w:rFonts w:ascii="Arial" w:hAnsi="Arial" w:eastAsia="Arial" w:cs="Arial"/>
          <w:color w:val="000000"/>
          <w:sz w:val="22"/>
          <w:szCs w:val="22"/>
          <w:lang w:val="es-AR"/>
        </w:rPr>
        <w:t xml:space="preserve">de la ciencia como gestión institucional” permitió reconocer la importancia de sostener criterios, equipos y prácticas comunicacionales en el tiempo, atendiendo a la articulación territorial, la relación con las políticas públicas y la profesionalización d</w:t>
      </w:r>
      <w:r>
        <w:rPr>
          <w:rFonts w:ascii="Arial" w:hAnsi="Arial" w:eastAsia="Arial" w:cs="Arial"/>
          <w:color w:val="000000"/>
          <w:sz w:val="22"/>
          <w:szCs w:val="22"/>
          <w:lang w:val="es-AR"/>
        </w:rPr>
        <w:t xml:space="preserve">el campo.</w:t>
      </w:r>
      <w:r>
        <w:rPr>
          <w:rFonts w:ascii="Arial" w:hAnsi="Arial" w:eastAsia="Arial" w:cs="Arial"/>
          <w:sz w:val="22"/>
          <w:szCs w:val="22"/>
        </w:rPr>
      </w:r>
      <w:r>
        <w:rPr>
          <w:rFonts w:ascii="Arial" w:hAnsi="Arial" w:eastAsia="Arial" w:cs="Arial"/>
          <w:sz w:val="22"/>
          <w:szCs w:val="22"/>
        </w:rPr>
      </w:r>
    </w:p>
    <w:p w14:paraId="63707383">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Uno de los espacios centrales de formación fue la Clínica de impacto en Ciencia y Tecnología para personal de investigación, desarrollada a lo largo de las tres jornadas. En la primera sesión, a cargo de la Dra. Carina Cortassa, trabajamos sobre la legitim</w:t>
      </w:r>
      <w:r>
        <w:rPr>
          <w:rFonts w:ascii="Arial" w:hAnsi="Arial" w:eastAsia="Arial" w:cs="Arial"/>
          <w:color w:val="000000"/>
          <w:sz w:val="22"/>
          <w:szCs w:val="22"/>
          <w:lang w:val="es-AR"/>
        </w:rPr>
        <w:t xml:space="preserve">idad social de las instituciones científico-tecnológicas, la construcción de confianza pública y la necesidad de hacer inteligibles las agendas, procesos y resultados de la investigación. También se analizaron condicionantes macro, meso y micro que inciden</w:t>
      </w:r>
      <w:r>
        <w:rPr>
          <w:rFonts w:ascii="Arial" w:hAnsi="Arial" w:eastAsia="Arial" w:cs="Arial"/>
          <w:color w:val="000000"/>
          <w:sz w:val="22"/>
          <w:szCs w:val="22"/>
          <w:lang w:val="es-AR"/>
        </w:rPr>
        <w:t xml:space="preserve"> en las prácticas de comunicación: las políticas públicas y modelos de evaluación, las estrategias y apoyos institucionales, y las percepciones, actitudes y decisiones de los propios actores científicos.</w:t>
      </w:r>
      <w:r>
        <w:rPr>
          <w:rFonts w:ascii="Arial" w:hAnsi="Arial" w:eastAsia="Arial" w:cs="Arial"/>
          <w:sz w:val="22"/>
          <w:szCs w:val="22"/>
        </w:rPr>
      </w:r>
      <w:r>
        <w:rPr>
          <w:rFonts w:ascii="Arial" w:hAnsi="Arial" w:eastAsia="Arial" w:cs="Arial"/>
          <w:sz w:val="22"/>
          <w:szCs w:val="22"/>
        </w:rPr>
      </w:r>
    </w:p>
    <w:p w14:paraId="7AAA4136">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La segunda sesión de la clínica, a cargo de la Dra. Elena Gasparri y el Lic. Gonzalo García, permitió ordenar los principales modelos de comunicación de las ciencias. Se revisaron los límites del modelo de transmisión de conocimientos y se trabajaron enfoq</w:t>
      </w:r>
      <w:r>
        <w:rPr>
          <w:rFonts w:ascii="Arial" w:hAnsi="Arial" w:eastAsia="Arial" w:cs="Arial"/>
          <w:color w:val="000000"/>
          <w:sz w:val="22"/>
          <w:szCs w:val="22"/>
          <w:lang w:val="es-AR"/>
        </w:rPr>
        <w:t xml:space="preserve">ues como el modelo del déficit, el modelo contextual, el modelo de interacción y la comunicación social de las ciencias. Este recorrido resultó útil para comprender que toda estrategia comunicacional parte de una determinada concepción sobre la ciencia, lo</w:t>
      </w:r>
      <w:r>
        <w:rPr>
          <w:rFonts w:ascii="Arial" w:hAnsi="Arial" w:eastAsia="Arial" w:cs="Arial"/>
          <w:color w:val="000000"/>
          <w:sz w:val="22"/>
          <w:szCs w:val="22"/>
          <w:lang w:val="es-AR"/>
        </w:rPr>
        <w:t xml:space="preserve">s públicos, los territorios, las instituciones y los procesos de apropiación social del conocimiento.</w:t>
      </w:r>
      <w:r>
        <w:rPr>
          <w:rFonts w:ascii="Arial" w:hAnsi="Arial" w:eastAsia="Arial" w:cs="Arial"/>
          <w:sz w:val="22"/>
          <w:szCs w:val="22"/>
        </w:rPr>
      </w:r>
      <w:r>
        <w:rPr>
          <w:rFonts w:ascii="Arial" w:hAnsi="Arial" w:eastAsia="Arial" w:cs="Arial"/>
          <w:sz w:val="22"/>
          <w:szCs w:val="22"/>
        </w:rPr>
      </w:r>
    </w:p>
    <w:p w14:paraId="738868D4">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La tercera sesión, a cargo de la Mg. María Soledad Casasola y la Lic. Natalia Fernández Báez, estuvo orientada a la comunicación de temas científicos y tecnológicos en redes sociales. Allí se trabajaron criterios para definir qué contar, a qué públicos dir</w:t>
      </w:r>
      <w:r>
        <w:rPr>
          <w:rFonts w:ascii="Arial" w:hAnsi="Arial" w:eastAsia="Arial" w:cs="Arial"/>
          <w:color w:val="000000"/>
          <w:sz w:val="22"/>
          <w:szCs w:val="22"/>
          <w:lang w:val="es-AR"/>
        </w:rPr>
        <w:t xml:space="preserve">igirse, qué plataformas utilizar, cómo adaptar contenidos a cada red y cómo evaluar su alcance. También se abordaron nociones de narrativa, storytelling, narrativas transmedia, micronarrativas y métricas digitales, con especial atención a la relación entre</w:t>
      </w:r>
      <w:r>
        <w:rPr>
          <w:rFonts w:ascii="Arial" w:hAnsi="Arial" w:eastAsia="Arial" w:cs="Arial"/>
          <w:color w:val="000000"/>
          <w:sz w:val="22"/>
          <w:szCs w:val="22"/>
          <w:lang w:val="es-AR"/>
        </w:rPr>
        <w:t xml:space="preserve"> objetivos comunicacionales, formatos, públicos e indicadores.</w:t>
      </w:r>
      <w:r>
        <w:rPr>
          <w:rFonts w:ascii="Arial" w:hAnsi="Arial" w:eastAsia="Arial" w:cs="Arial"/>
          <w:sz w:val="22"/>
          <w:szCs w:val="22"/>
        </w:rPr>
      </w:r>
      <w:r>
        <w:rPr>
          <w:rFonts w:ascii="Arial" w:hAnsi="Arial" w:eastAsia="Arial" w:cs="Arial"/>
          <w:sz w:val="22"/>
          <w:szCs w:val="22"/>
        </w:rPr>
      </w:r>
    </w:p>
    <w:p w14:paraId="6ED8E8CF">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En paralelo, participamos del Workshop de comunicación y periodismo en ciencias, un espacio colaborativo orientado a relevar prácticas actuales, perfiles profesionales, formatos, medios, públicos y desafíos del sector. Los intercambios giraron en torno al </w:t>
      </w:r>
      <w:r>
        <w:rPr>
          <w:rFonts w:ascii="Arial" w:hAnsi="Arial" w:eastAsia="Arial" w:cs="Arial"/>
          <w:color w:val="000000"/>
          <w:sz w:val="22"/>
          <w:szCs w:val="22"/>
          <w:lang w:val="es-AR"/>
        </w:rPr>
        <w:t xml:space="preserve">uso de inteligencia artificial, la formación profesional, el abordaje de noticias falsas y la comunicación de temas controversiales. La dinámica permitió compartir experiencias con comunicadores, periodistas, docentes, investigadores y equipos instituciona</w:t>
      </w:r>
      <w:r>
        <w:rPr>
          <w:rFonts w:ascii="Arial" w:hAnsi="Arial" w:eastAsia="Arial" w:cs="Arial"/>
          <w:color w:val="000000"/>
          <w:sz w:val="22"/>
          <w:szCs w:val="22"/>
          <w:lang w:val="es-AR"/>
        </w:rPr>
        <w:t xml:space="preserve">les de distintas provincias y países de la región.</w:t>
      </w:r>
      <w:r>
        <w:rPr>
          <w:rFonts w:ascii="Arial" w:hAnsi="Arial" w:eastAsia="Arial" w:cs="Arial"/>
          <w:sz w:val="22"/>
          <w:szCs w:val="22"/>
        </w:rPr>
      </w:r>
      <w:r>
        <w:rPr>
          <w:rFonts w:ascii="Arial" w:hAnsi="Arial" w:eastAsia="Arial" w:cs="Arial"/>
          <w:sz w:val="22"/>
          <w:szCs w:val="22"/>
        </w:rPr>
      </w:r>
    </w:p>
    <w:p w14:paraId="4C92AAA3">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El congreso también ofreció espacios específicos para pensar los lenguajes, soportes y narrativas actuales de la comunicación científica. La presentación del libro </w:t>
      </w:r>
      <w:r>
        <w:rPr>
          <w:rFonts w:ascii="Arial" w:hAnsi="Arial" w:eastAsia="Arial" w:cs="Arial"/>
          <w:i/>
          <w:color w:val="000000"/>
          <w:sz w:val="22"/>
          <w:szCs w:val="22"/>
          <w:lang w:val="es-AR"/>
        </w:rPr>
        <w:t xml:space="preserve">Usos increíbles de la Inteligencia Artificial: narrativas, ética y políticas públicas para la comunicación de la tecnología en Latinoamérica</w:t>
      </w:r>
      <w:r>
        <w:rPr>
          <w:rFonts w:ascii="Arial" w:hAnsi="Arial" w:eastAsia="Arial" w:cs="Arial"/>
          <w:color w:val="000000"/>
          <w:sz w:val="22"/>
          <w:szCs w:val="22"/>
          <w:lang w:val="es-AR"/>
        </w:rPr>
        <w:t xml:space="preserve">, de Federico Raúl González, permitió abordar la inteligencia artificial no solo como herramienta técnica, sino como fenómeno social, cultural y político que requiere mediaciones claras, narrativas accesibles, pensamiento crítico y marcos éticos.</w:t>
      </w:r>
      <w:r>
        <w:rPr>
          <w:rFonts w:ascii="Arial" w:hAnsi="Arial" w:eastAsia="Arial" w:cs="Arial"/>
          <w:sz w:val="22"/>
          <w:szCs w:val="22"/>
        </w:rPr>
      </w:r>
      <w:r>
        <w:rPr>
          <w:rFonts w:ascii="Arial" w:hAnsi="Arial" w:eastAsia="Arial" w:cs="Arial"/>
          <w:sz w:val="22"/>
          <w:szCs w:val="22"/>
        </w:rPr>
      </w:r>
    </w:p>
    <w:p w14:paraId="3B54B932">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Las mesas de ponencias aportaron experiencias concretas de comunicación, educación y gestión institucional. En el eje “Experiencias pedagógicas y educomunicación de las ciencias”, se presentaron trabajos sobre lectura digital interactiva, ciencia ciudad</w:t>
      </w:r>
      <w:r>
        <w:rPr>
          <w:rFonts w:ascii="Arial" w:hAnsi="Arial" w:eastAsia="Arial" w:cs="Arial"/>
          <w:color w:val="000000"/>
          <w:sz w:val="22"/>
          <w:szCs w:val="22"/>
          <w:lang w:val="es-AR"/>
        </w:rPr>
        <w:t xml:space="preserve">ana, agroecología accesible, pedagogía de la pregunta y sesgos de género en materiales de divulgación. Estas experiencias permitieron observar distintas formas de mediación entre conocimiento científico, ciudadanía, educación y participación social, con di</w:t>
      </w:r>
      <w:r>
        <w:rPr>
          <w:rFonts w:ascii="Arial" w:hAnsi="Arial" w:eastAsia="Arial" w:cs="Arial"/>
          <w:color w:val="000000"/>
          <w:sz w:val="22"/>
          <w:szCs w:val="22"/>
          <w:lang w:val="es-AR"/>
        </w:rPr>
        <w:t xml:space="preserve">spositivos digitales, plataformas colaborativas, estrategias de accesibilidad y propuestas orientadas a revisar representaciones estereotipadas en la comunicación científica.</w:t>
      </w:r>
      <w:r>
        <w:rPr>
          <w:rFonts w:ascii="Arial" w:hAnsi="Arial" w:eastAsia="Arial" w:cs="Arial"/>
          <w:sz w:val="22"/>
          <w:szCs w:val="22"/>
        </w:rPr>
      </w:r>
      <w:r>
        <w:rPr>
          <w:rFonts w:ascii="Arial" w:hAnsi="Arial" w:eastAsia="Arial" w:cs="Arial"/>
          <w:sz w:val="22"/>
          <w:szCs w:val="22"/>
        </w:rPr>
      </w:r>
    </w:p>
    <w:p w14:paraId="706AEE0F">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En el eje de “Comunicación de las ciencias y las tecnologías como política de gestión institucional”, se destacó la presentación de Jimena Zoni sobre la construcción de marca institucional en el Instituto de Biología Molecular y Celular de Rosario. Esta me</w:t>
      </w:r>
      <w:r>
        <w:rPr>
          <w:rFonts w:ascii="Arial" w:hAnsi="Arial" w:eastAsia="Arial" w:cs="Arial"/>
          <w:color w:val="000000"/>
          <w:sz w:val="22"/>
          <w:szCs w:val="22"/>
          <w:lang w:val="es-AR"/>
        </w:rPr>
        <w:t xml:space="preserve">sa permitió reflexionar sobre la comunicación institucional como construcción de identidad, legitimidad social y coherencia narrativa en organismos científicos. También se abordaron experiencias vinculadas con comunicación territorial, revistas universitar</w:t>
      </w:r>
      <w:r>
        <w:rPr>
          <w:rFonts w:ascii="Arial" w:hAnsi="Arial" w:eastAsia="Arial" w:cs="Arial"/>
          <w:color w:val="000000"/>
          <w:sz w:val="22"/>
          <w:szCs w:val="22"/>
          <w:lang w:val="es-AR"/>
        </w:rPr>
        <w:t xml:space="preserve">ias, productos comunicacionales para públicos no expertos y tensiones entre el reconocimiento simbólico de la comunicación y su lugar dentro de la cultura organizacional académica.</w:t>
      </w:r>
      <w:r>
        <w:rPr>
          <w:rFonts w:ascii="Arial" w:hAnsi="Arial" w:eastAsia="Arial" w:cs="Arial"/>
          <w:sz w:val="22"/>
          <w:szCs w:val="22"/>
        </w:rPr>
      </w:r>
      <w:r>
        <w:rPr>
          <w:rFonts w:ascii="Arial" w:hAnsi="Arial" w:eastAsia="Arial" w:cs="Arial"/>
          <w:sz w:val="22"/>
          <w:szCs w:val="22"/>
        </w:rPr>
      </w:r>
    </w:p>
    <w:p w14:paraId="35BDA4FD">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Entre los paneles centrales, “Comunicar ciencia desde el fondo del mar” permitió analizar uno de los casos recientes más significativos de comunicación científica masiva en Argentina: la transmisión en vivo de la expedición Talud IV, del Grupo de Estudios </w:t>
      </w:r>
      <w:r>
        <w:rPr>
          <w:rFonts w:ascii="Arial" w:hAnsi="Arial" w:eastAsia="Arial" w:cs="Arial"/>
          <w:color w:val="000000"/>
          <w:sz w:val="22"/>
          <w:szCs w:val="22"/>
          <w:lang w:val="es-AR"/>
        </w:rPr>
        <w:t xml:space="preserve">del Mar Profundo y el Schmidt Ocean Institute. El panel mostró la potencia de comunicar la ciencia en proceso, incluyendo la incertidumbre propia de la investigación, la emoción del equipo científico, la interacción con audiencias digitales y la apropiació</w:t>
      </w:r>
      <w:r>
        <w:rPr>
          <w:rFonts w:ascii="Arial" w:hAnsi="Arial" w:eastAsia="Arial" w:cs="Arial"/>
          <w:color w:val="000000"/>
          <w:sz w:val="22"/>
          <w:szCs w:val="22"/>
          <w:lang w:val="es-AR"/>
        </w:rPr>
        <w:t xml:space="preserve">n cultural de contenidos científicos a través de memes, ilustraciones y conversaciones públicas.</w:t>
      </w:r>
      <w:r>
        <w:rPr>
          <w:rFonts w:ascii="Arial" w:hAnsi="Arial" w:eastAsia="Arial" w:cs="Arial"/>
          <w:sz w:val="22"/>
          <w:szCs w:val="22"/>
        </w:rPr>
      </w:r>
      <w:r>
        <w:rPr>
          <w:rFonts w:ascii="Arial" w:hAnsi="Arial" w:eastAsia="Arial" w:cs="Arial"/>
          <w:sz w:val="22"/>
          <w:szCs w:val="22"/>
        </w:rPr>
      </w:r>
    </w:p>
    <w:p w14:paraId="08DF419A">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El último panel central, “Otras formas de contar la Historia”, permitió ampliar la reflexión hacia otros campos del conocimiento y sus modos de circulación pública. A partir de las intervenciones de especialistas de la academia, el periodismo y la divulgac</w:t>
      </w:r>
      <w:r>
        <w:rPr>
          <w:rFonts w:ascii="Arial" w:hAnsi="Arial" w:eastAsia="Arial" w:cs="Arial"/>
          <w:color w:val="000000"/>
          <w:sz w:val="22"/>
          <w:szCs w:val="22"/>
          <w:lang w:val="es-AR"/>
        </w:rPr>
        <w:t xml:space="preserve">ión digital, se abordó la tensión entre rigor disciplinar, nuevas narrativas, memoria colectiva, identidad ciudadana e inmediatez de las audiencias actuales.</w:t>
      </w:r>
      <w:r>
        <w:rPr>
          <w:rFonts w:ascii="Arial" w:hAnsi="Arial" w:eastAsia="Arial" w:cs="Arial"/>
          <w:sz w:val="22"/>
          <w:szCs w:val="22"/>
        </w:rPr>
      </w:r>
      <w:r>
        <w:rPr>
          <w:rFonts w:ascii="Arial" w:hAnsi="Arial" w:eastAsia="Arial" w:cs="Arial"/>
          <w:sz w:val="22"/>
          <w:szCs w:val="22"/>
        </w:rPr>
      </w:r>
    </w:p>
    <w:p w14:paraId="33BD111D">
      <w:pPr>
        <w:pBdr>
          <w:top w:val="none" w:color="000000" w:sz="4" w:space="0"/>
          <w:left w:val="none" w:color="000000" w:sz="4" w:space="0"/>
          <w:bottom w:val="none" w:color="000000" w:sz="4" w:space="0"/>
          <w:right w:val="none" w:color="000000" w:sz="4" w:space="0"/>
        </w:pBdr>
        <w:spacing w:after="0" w:afterAutospacing="0"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Las actividades complementarias, entre ellas la visita al Planetario Municipal de Rosario, el brindis de camaradería y las proyecciones audiovisuales, también favorecieron el intercambio informal entre participantes y equipos de distintas instituciones. Es</w:t>
      </w:r>
      <w:r>
        <w:rPr>
          <w:rFonts w:ascii="Arial" w:hAnsi="Arial" w:eastAsia="Arial" w:cs="Arial"/>
          <w:color w:val="000000"/>
          <w:sz w:val="22"/>
          <w:szCs w:val="22"/>
          <w:lang w:val="es-AR"/>
        </w:rPr>
        <w:t xml:space="preserve">tos espacios contribuyeron a fortalecer redes profesionales y a reconocer la dimensión cultural, sensible y colectiva que también forma parte de la comunicación pública de la ciencia.</w:t>
      </w:r>
      <w:r>
        <w:rPr>
          <w:rFonts w:ascii="Arial" w:hAnsi="Arial" w:eastAsia="Arial" w:cs="Arial"/>
          <w:sz w:val="22"/>
          <w:szCs w:val="22"/>
        </w:rPr>
      </w:r>
      <w:r>
        <w:rPr>
          <w:rFonts w:ascii="Arial" w:hAnsi="Arial" w:eastAsia="Arial" w:cs="Arial"/>
          <w:sz w:val="22"/>
          <w:szCs w:val="22"/>
        </w:rPr>
      </w:r>
    </w:p>
    <w:p w14:paraId="30A70C97">
      <w:pPr>
        <w:pStyle w:val="139"/>
        <w:pBdr/>
        <w:spacing w:line="276" w:lineRule="auto"/>
        <w:ind/>
        <w:rPr>
          <w:rFonts w:ascii="Arial" w:hAnsi="Arial" w:cs="Arial"/>
          <w:b/>
          <w:bCs/>
          <w:color w:val="auto"/>
          <w:sz w:val="22"/>
          <w:szCs w:val="22"/>
        </w:rPr>
      </w:pPr>
      <w:r>
        <w:rPr>
          <w:rFonts w:ascii="Arial" w:hAnsi="Arial" w:eastAsia="Arial" w:cs="Arial"/>
          <w:b/>
          <w:bCs/>
          <w:color w:val="auto"/>
          <w:sz w:val="22"/>
          <w:szCs w:val="22"/>
          <w:lang w:val="es-AR"/>
        </w:rPr>
        <w:t xml:space="preserve">Ejes desarrollados durante el congreso</w:t>
      </w:r>
      <w:r>
        <w:rPr>
          <w:rFonts w:ascii="Arial" w:hAnsi="Arial" w:eastAsia="Arial" w:cs="Arial"/>
          <w:b/>
          <w:bCs/>
          <w:color w:val="auto"/>
          <w:sz w:val="22"/>
          <w:szCs w:val="22"/>
        </w:rPr>
      </w:r>
      <w:r>
        <w:rPr>
          <w:rFonts w:ascii="Arial" w:hAnsi="Arial" w:eastAsia="Arial" w:cs="Arial"/>
          <w:b/>
          <w:bCs/>
          <w:color w:val="auto"/>
          <w:sz w:val="22"/>
          <w:szCs w:val="22"/>
        </w:rPr>
      </w:r>
    </w:p>
    <w:p w14:paraId="7E4D4A0C">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La comunicación pública de la ciencia como dimensión de gestión institucional fue uno de </w:t>
      </w:r>
      <w:r>
        <w:rPr>
          <w:rFonts w:ascii="Arial" w:hAnsi="Arial" w:eastAsia="Arial" w:cs="Arial"/>
          <w:color w:val="auto"/>
          <w:sz w:val="22"/>
          <w:szCs w:val="22"/>
          <w:lang w:val="es-AR"/>
        </w:rPr>
        <w:t xml:space="preserve">los ejes centrales del congreso. En distintos paneles y mesas se planteó que comunicar ciencia no consiste únicamente en difundir resultados ya concluidos, sino en construir vínculos sostenidos entre las instituciones científico-tecnológicas y sus públicos</w:t>
      </w:r>
      <w:r>
        <w:rPr>
          <w:rFonts w:ascii="Arial" w:hAnsi="Arial" w:eastAsia="Arial" w:cs="Arial"/>
          <w:color w:val="auto"/>
          <w:sz w:val="22"/>
          <w:szCs w:val="22"/>
          <w:lang w:val="es-AR"/>
        </w:rPr>
        <w:t xml:space="preserve">. Esta perspectiva incluye la definición de identidades institucionales, la coherencia de los mensajes, la articulación con el territorio, la construcción de legitimidad social y la profesionalización de los equipos que trabajan en comunicación científica.</w:t>
      </w:r>
      <w:r>
        <w:rPr>
          <w:rFonts w:ascii="Arial" w:hAnsi="Arial" w:eastAsia="Arial" w:cs="Arial"/>
          <w:color w:val="auto"/>
          <w:sz w:val="22"/>
          <w:szCs w:val="22"/>
        </w:rPr>
      </w:r>
      <w:r>
        <w:rPr>
          <w:rFonts w:ascii="Arial" w:hAnsi="Arial" w:eastAsia="Arial" w:cs="Arial"/>
          <w:color w:val="auto"/>
          <w:sz w:val="22"/>
          <w:szCs w:val="22"/>
        </w:rPr>
      </w:r>
    </w:p>
    <w:p w14:paraId="7FA9E662">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La clínica permitió pro</w:t>
      </w:r>
      <w:r>
        <w:rPr>
          <w:rFonts w:ascii="Arial" w:hAnsi="Arial" w:eastAsia="Arial" w:cs="Arial"/>
          <w:color w:val="auto"/>
          <w:sz w:val="22"/>
          <w:szCs w:val="22"/>
          <w:lang w:val="es-AR"/>
        </w:rPr>
        <w:t xml:space="preserve">fundizar este marco desde distintos niveles de análisis. La confianza pública no fue presentada como un atributo garantizado, sino como una construcción sostenida que requiere hacer comprensibles las agendas, los procesos, los resultados y el valor social </w:t>
      </w:r>
      <w:r>
        <w:rPr>
          <w:rFonts w:ascii="Arial" w:hAnsi="Arial" w:eastAsia="Arial" w:cs="Arial"/>
          <w:color w:val="auto"/>
          <w:sz w:val="22"/>
          <w:szCs w:val="22"/>
          <w:lang w:val="es-AR"/>
        </w:rPr>
        <w:t xml:space="preserve">de la investigación. También se abordaron los condicionantes que atraviesan estas prácticas: a nivel macro, las políticas públicas, los marcos regulatorios, el financiamiento y los modelos de evaluación de la actividad científica; a nivel institucional, la</w:t>
      </w:r>
      <w:r>
        <w:rPr>
          <w:rFonts w:ascii="Arial" w:hAnsi="Arial" w:eastAsia="Arial" w:cs="Arial"/>
          <w:color w:val="auto"/>
          <w:sz w:val="22"/>
          <w:szCs w:val="22"/>
          <w:lang w:val="es-AR"/>
        </w:rPr>
        <w:t xml:space="preserve">s estrategias, recursos, espacios y apoyos disponibles; y a nivel micro, las percepciones, motivaciones, prioridades y supuestos de investigadores, técnicos y comunicadores respecto de los públicos, el lenguaje y las formas de circulación del conocimiento.</w:t>
      </w:r>
      <w:r>
        <w:rPr>
          <w:rFonts w:ascii="Arial" w:hAnsi="Arial" w:eastAsia="Arial" w:cs="Arial"/>
          <w:color w:val="auto"/>
          <w:sz w:val="22"/>
          <w:szCs w:val="22"/>
        </w:rPr>
      </w:r>
      <w:r>
        <w:rPr>
          <w:rFonts w:ascii="Arial" w:hAnsi="Arial" w:eastAsia="Arial" w:cs="Arial"/>
          <w:color w:val="auto"/>
          <w:sz w:val="22"/>
          <w:szCs w:val="22"/>
        </w:rPr>
      </w:r>
    </w:p>
    <w:p w14:paraId="27FBA74C">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El recorrido por los model</w:t>
      </w:r>
      <w:r>
        <w:rPr>
          <w:rFonts w:ascii="Arial" w:hAnsi="Arial" w:eastAsia="Arial" w:cs="Arial"/>
          <w:color w:val="auto"/>
          <w:sz w:val="22"/>
          <w:szCs w:val="22"/>
          <w:lang w:val="es-AR"/>
        </w:rPr>
        <w:t xml:space="preserve">os de comunicación permitió revisar los límites de la transmisión lineal de información. Frente al modelo del déficit, centrado en la idea de que el público carece de conocimientos y debe ser informado, se presentaron enfoques contextuales, interactivos y </w:t>
      </w:r>
      <w:r>
        <w:rPr>
          <w:rFonts w:ascii="Arial" w:hAnsi="Arial" w:eastAsia="Arial" w:cs="Arial"/>
          <w:color w:val="auto"/>
          <w:sz w:val="22"/>
          <w:szCs w:val="22"/>
          <w:lang w:val="es-AR"/>
        </w:rPr>
        <w:t xml:space="preserve">de comunicación social de las ciencias. Estos modelos incorporan la diversidad de públicos, los saberes previos, las matrices socioculturales, la participación y la necesidad de pensar la comunicación como un proceso situado, no como una fórmula universal.</w:t>
      </w:r>
      <w:r>
        <w:rPr>
          <w:rFonts w:ascii="Arial" w:hAnsi="Arial" w:eastAsia="Arial" w:cs="Arial"/>
          <w:color w:val="auto"/>
          <w:sz w:val="22"/>
          <w:szCs w:val="22"/>
        </w:rPr>
      </w:r>
      <w:r>
        <w:rPr>
          <w:rFonts w:ascii="Arial" w:hAnsi="Arial" w:eastAsia="Arial" w:cs="Arial"/>
          <w:color w:val="auto"/>
          <w:sz w:val="22"/>
          <w:szCs w:val="22"/>
        </w:rPr>
      </w:r>
    </w:p>
    <w:p w14:paraId="5BF5D607">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La mesa sobre marca institucional en organismos científicos permitió observar este punto desde una experiencia concreta: la del Instituto de Biología Molecula</w:t>
      </w:r>
      <w:r>
        <w:rPr>
          <w:rFonts w:ascii="Arial" w:hAnsi="Arial" w:eastAsia="Arial" w:cs="Arial"/>
          <w:color w:val="auto"/>
          <w:sz w:val="22"/>
          <w:szCs w:val="22"/>
          <w:lang w:val="es-AR"/>
        </w:rPr>
        <w:t xml:space="preserve">r y Celular de Rosario. Allí se abordó la marca no como un elemento meramente visual, sino como un entramado de valores, narrativas y decisiones comunicacionales que orientan el modo en que una institución se presenta ante sus públicos internos y externos.</w:t>
      </w:r>
      <w:r>
        <w:rPr>
          <w:rFonts w:ascii="Arial" w:hAnsi="Arial" w:eastAsia="Arial" w:cs="Arial"/>
          <w:color w:val="auto"/>
          <w:sz w:val="22"/>
          <w:szCs w:val="22"/>
        </w:rPr>
      </w:r>
      <w:r>
        <w:rPr>
          <w:rFonts w:ascii="Arial" w:hAnsi="Arial" w:eastAsia="Arial" w:cs="Arial"/>
          <w:color w:val="auto"/>
          <w:sz w:val="22"/>
          <w:szCs w:val="22"/>
        </w:rPr>
      </w:r>
    </w:p>
    <w:p w14:paraId="075713F6">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Otro eje fuertemente desarrollado fue la comunicación de procesos científicos. El panel sobre la expedición Talud IV mostró cómo la transmisión en vivo de una investigación en curso puede generar niveles inédi</w:t>
      </w:r>
      <w:r>
        <w:rPr>
          <w:rFonts w:ascii="Arial" w:hAnsi="Arial" w:eastAsia="Arial" w:cs="Arial"/>
          <w:color w:val="auto"/>
          <w:sz w:val="22"/>
          <w:szCs w:val="22"/>
          <w:lang w:val="es-AR"/>
        </w:rPr>
        <w:t xml:space="preserve">tos de interés público. La experiencia permitió observar que las audiencias no solo se vinculan con los resultados finales de la ciencia, sino también con las preguntas, los procedimientos, la incertidumbre, las decisiones técnicas y la dimensión humana de</w:t>
      </w:r>
      <w:r>
        <w:rPr>
          <w:rFonts w:ascii="Arial" w:hAnsi="Arial" w:eastAsia="Arial" w:cs="Arial"/>
          <w:color w:val="auto"/>
          <w:sz w:val="22"/>
          <w:szCs w:val="22"/>
          <w:lang w:val="es-AR"/>
        </w:rPr>
        <w:t xml:space="preserve"> los equipos de trabajo. El caso también mostró cómo los públicos digitales pueden apropiarse de contenidos científicos mediante recursos propios de la cultura de redes, como memes, ilustraciones, comentarios en vivo y circulación espontánea de fragmentos.</w:t>
      </w:r>
      <w:r>
        <w:rPr>
          <w:rFonts w:ascii="Arial" w:hAnsi="Arial" w:eastAsia="Arial" w:cs="Arial"/>
          <w:color w:val="auto"/>
          <w:sz w:val="22"/>
          <w:szCs w:val="22"/>
        </w:rPr>
      </w:r>
      <w:r>
        <w:rPr>
          <w:rFonts w:ascii="Arial" w:hAnsi="Arial" w:eastAsia="Arial" w:cs="Arial"/>
          <w:color w:val="auto"/>
          <w:sz w:val="22"/>
          <w:szCs w:val="22"/>
        </w:rPr>
      </w:r>
    </w:p>
    <w:p w14:paraId="5E5D8E05">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La inteligencia artificial apareció como tema transversal en distintas actividades. En la presentación del libro de Federico Raúl González y en </w:t>
      </w:r>
      <w:r>
        <w:rPr>
          <w:rFonts w:ascii="Arial" w:hAnsi="Arial" w:eastAsia="Arial" w:cs="Arial"/>
          <w:color w:val="auto"/>
          <w:sz w:val="22"/>
          <w:szCs w:val="22"/>
          <w:lang w:val="es-AR"/>
        </w:rPr>
        <w:t xml:space="preserve">el workshop de comunicación y periodismo en ciencias, se discutió la necesidad de comunicar la IA desde una perspectiva accesible, crítica y situada. Se destacó que las narrativas sobre inteligencia artificial no deberían limitarse a explicar herramientas,</w:t>
      </w:r>
      <w:r>
        <w:rPr>
          <w:rFonts w:ascii="Arial" w:hAnsi="Arial" w:eastAsia="Arial" w:cs="Arial"/>
          <w:color w:val="auto"/>
          <w:sz w:val="22"/>
          <w:szCs w:val="22"/>
          <w:lang w:val="es-AR"/>
        </w:rPr>
        <w:t xml:space="preserve"> sino también ayudar a comprender sus efectos sociales, culturales, educativos, éticos y políticos. En ese marco, cobraron relevancia conceptos como pensamiento crítico, supervisión humana, participación ciudadana, gobernanza y responsabilidad profesional.</w:t>
      </w:r>
      <w:r>
        <w:rPr>
          <w:rFonts w:ascii="Arial" w:hAnsi="Arial" w:eastAsia="Arial" w:cs="Arial"/>
          <w:color w:val="auto"/>
          <w:sz w:val="22"/>
          <w:szCs w:val="22"/>
        </w:rPr>
      </w:r>
      <w:r>
        <w:rPr>
          <w:rFonts w:ascii="Arial" w:hAnsi="Arial" w:eastAsia="Arial" w:cs="Arial"/>
          <w:color w:val="auto"/>
          <w:sz w:val="22"/>
          <w:szCs w:val="22"/>
        </w:rPr>
      </w:r>
    </w:p>
    <w:p w14:paraId="3DBFE9C9">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La educomunicación de las ciencias fue otro eje significativo. Las ponencias</w:t>
      </w:r>
      <w:r>
        <w:rPr>
          <w:rFonts w:ascii="Arial" w:hAnsi="Arial" w:eastAsia="Arial" w:cs="Arial"/>
          <w:color w:val="auto"/>
          <w:sz w:val="22"/>
          <w:szCs w:val="22"/>
          <w:lang w:val="es-AR"/>
        </w:rPr>
        <w:t xml:space="preserve"> del Eje 5 mostraron experiencias diversas en las que el público no aparece como receptor pasivo, sino como participante activo en la construcción de conocimiento. La lectura digital interactiva propuso nuevas formas de involucramiento de estudiantes con t</w:t>
      </w:r>
      <w:r>
        <w:rPr>
          <w:rFonts w:ascii="Arial" w:hAnsi="Arial" w:eastAsia="Arial" w:cs="Arial"/>
          <w:color w:val="auto"/>
          <w:sz w:val="22"/>
          <w:szCs w:val="22"/>
          <w:lang w:val="es-AR"/>
        </w:rPr>
        <w:t xml:space="preserve">extos científicos; la experiencia con ArgentiNat mostró el valor de la ciencia ciudadana para registrar biodiversidad; la formación en agroecología accesible puso en primer plano la inclusión de personas con discapacidad y comunidades vulneradas; el progra</w:t>
      </w:r>
      <w:r>
        <w:rPr>
          <w:rFonts w:ascii="Arial" w:hAnsi="Arial" w:eastAsia="Arial" w:cs="Arial"/>
          <w:color w:val="auto"/>
          <w:sz w:val="22"/>
          <w:szCs w:val="22"/>
          <w:lang w:val="es-AR"/>
        </w:rPr>
        <w:t xml:space="preserve">ma Eureka destacó la potencia de la pregunta escolar como motor de pensamiento crítico; y el análisis de sesgos de género en revistas de divulgación permitió revisar cómo las representaciones visuales y narrativas inciden en la imagen social de la ciencia.</w:t>
      </w:r>
      <w:r>
        <w:rPr>
          <w:rFonts w:ascii="Arial" w:hAnsi="Arial" w:eastAsia="Arial" w:cs="Arial"/>
          <w:color w:val="auto"/>
          <w:sz w:val="22"/>
          <w:szCs w:val="22"/>
        </w:rPr>
      </w:r>
      <w:r>
        <w:rPr>
          <w:rFonts w:ascii="Arial" w:hAnsi="Arial" w:eastAsia="Arial" w:cs="Arial"/>
          <w:color w:val="auto"/>
          <w:sz w:val="22"/>
          <w:szCs w:val="22"/>
        </w:rPr>
      </w:r>
    </w:p>
    <w:p w14:paraId="2A28D293">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También se trabajó de manera recurrente sobre la diversificación de lenguaje</w:t>
      </w:r>
      <w:r>
        <w:rPr>
          <w:rFonts w:ascii="Arial" w:hAnsi="Arial" w:eastAsia="Arial" w:cs="Arial"/>
          <w:color w:val="auto"/>
          <w:sz w:val="22"/>
          <w:szCs w:val="22"/>
          <w:lang w:val="es-AR"/>
        </w:rPr>
        <w:t xml:space="preserve">s, plataformas y públicos. En los paneles sobre historia, comunicación digital y periodismo científico se planteó que los públicos actuales acceden al conocimiento mediante formatos muy variados: redes sociales, transmisiones en vivo, piezas audiovisuales </w:t>
      </w:r>
      <w:r>
        <w:rPr>
          <w:rFonts w:ascii="Arial" w:hAnsi="Arial" w:eastAsia="Arial" w:cs="Arial"/>
          <w:color w:val="auto"/>
          <w:sz w:val="22"/>
          <w:szCs w:val="22"/>
          <w:lang w:val="es-AR"/>
        </w:rPr>
        <w:t xml:space="preserve">breves, plataformas colaborativas, medios digitales, propuestas interactivas y narrativas transmedia. Estos formatos no sustituyen el rigor disciplinar, pero exigen nuevas mediaciones para que el conocimiento circule de manera clara, atractiva y confiable.</w:t>
      </w:r>
      <w:r>
        <w:rPr>
          <w:rFonts w:ascii="Arial" w:hAnsi="Arial" w:eastAsia="Arial" w:cs="Arial"/>
          <w:color w:val="auto"/>
          <w:sz w:val="22"/>
          <w:szCs w:val="22"/>
        </w:rPr>
      </w:r>
      <w:r>
        <w:rPr>
          <w:rFonts w:ascii="Arial" w:hAnsi="Arial" w:eastAsia="Arial" w:cs="Arial"/>
          <w:color w:val="auto"/>
          <w:sz w:val="22"/>
          <w:szCs w:val="22"/>
        </w:rPr>
      </w:r>
    </w:p>
    <w:p w14:paraId="0E269033">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En la dimensión práctica, la clínica abordó la comunicación científic</w:t>
      </w:r>
      <w:r>
        <w:rPr>
          <w:rFonts w:ascii="Arial" w:hAnsi="Arial" w:eastAsia="Arial" w:cs="Arial"/>
          <w:color w:val="auto"/>
          <w:sz w:val="22"/>
          <w:szCs w:val="22"/>
          <w:lang w:val="es-AR"/>
        </w:rPr>
        <w:t xml:space="preserve">a en redes sociales y plataformas digitales. Se trabajó sobre la necesidad de definir objetivos, públicos, medios, formatos y motivaciones antes de producir contenidos. También se analizaron las particularidades de distintas plataformas: Facebook como espa</w:t>
      </w:r>
      <w:r>
        <w:rPr>
          <w:rFonts w:ascii="Arial" w:hAnsi="Arial" w:eastAsia="Arial" w:cs="Arial"/>
          <w:color w:val="auto"/>
          <w:sz w:val="22"/>
          <w:szCs w:val="22"/>
          <w:lang w:val="es-AR"/>
        </w:rPr>
        <w:t xml:space="preserve">cio de almacenamiento y consulta; X/Twitter como red de conversación e instantaneidad; Instagram y TikTok como espacios de microformatos visuales y audiovisuales; y LinkedIn como ámbito de vinculación profesional y circulación de contenidos especializados.</w:t>
      </w:r>
      <w:r>
        <w:rPr>
          <w:rFonts w:ascii="Arial" w:hAnsi="Arial" w:eastAsia="Arial" w:cs="Arial"/>
          <w:color w:val="auto"/>
          <w:sz w:val="22"/>
          <w:szCs w:val="22"/>
        </w:rPr>
      </w:r>
      <w:r>
        <w:rPr>
          <w:rFonts w:ascii="Arial" w:hAnsi="Arial" w:eastAsia="Arial" w:cs="Arial"/>
          <w:color w:val="auto"/>
          <w:sz w:val="22"/>
          <w:szCs w:val="22"/>
        </w:rPr>
      </w:r>
    </w:p>
    <w:p w14:paraId="7F13C7B6">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Finalmente, se presentaron criterios básicos para evaluar el desempeño de las acciones digitales mediante métricas como alcance, impresiones, interacci</w:t>
      </w:r>
      <w:r>
        <w:rPr>
          <w:rFonts w:ascii="Arial" w:hAnsi="Arial" w:eastAsia="Arial" w:cs="Arial"/>
          <w:color w:val="auto"/>
          <w:sz w:val="22"/>
          <w:szCs w:val="22"/>
          <w:lang w:val="es-AR"/>
        </w:rPr>
        <w:t xml:space="preserve">ones, reproducciones de video, clics en enlaces y engagement. Este abordaje permitió comprender que la evaluación no depende solo de los números disponibles, sino de la relación entre esos indicadores y los objetivos comunicacionales definidos previamente.</w:t>
      </w:r>
      <w:r>
        <w:rPr>
          <w:rFonts w:ascii="Arial" w:hAnsi="Arial" w:eastAsia="Arial" w:cs="Arial"/>
          <w:color w:val="auto"/>
          <w:sz w:val="22"/>
          <w:szCs w:val="22"/>
        </w:rPr>
      </w:r>
      <w:r>
        <w:rPr>
          <w:rFonts w:ascii="Arial" w:hAnsi="Arial" w:eastAsia="Arial" w:cs="Arial"/>
          <w:color w:val="auto"/>
          <w:sz w:val="22"/>
          <w:szCs w:val="22"/>
        </w:rPr>
      </w:r>
    </w:p>
    <w:p w14:paraId="4641A06E">
      <w:pPr>
        <w:pStyle w:val="139"/>
        <w:pBdr/>
        <w:spacing w:line="276" w:lineRule="auto"/>
        <w:ind/>
        <w:rPr>
          <w:rFonts w:ascii="Arial" w:hAnsi="Arial" w:cs="Arial"/>
          <w:b/>
          <w:bCs/>
          <w:color w:val="auto"/>
          <w:sz w:val="22"/>
          <w:szCs w:val="22"/>
        </w:rPr>
      </w:pPr>
      <w:r>
        <w:rPr>
          <w:rFonts w:ascii="Arial" w:hAnsi="Arial" w:eastAsia="Arial" w:cs="Arial"/>
          <w:b/>
          <w:bCs/>
          <w:color w:val="auto"/>
          <w:sz w:val="22"/>
          <w:szCs w:val="22"/>
          <w:lang w:val="es-AR"/>
        </w:rPr>
        <w:t xml:space="preserve">Valor institucional de la capacitación</w:t>
      </w:r>
      <w:r>
        <w:rPr>
          <w:rFonts w:ascii="Arial" w:hAnsi="Arial" w:eastAsia="Arial" w:cs="Arial"/>
          <w:b/>
          <w:bCs/>
          <w:color w:val="auto"/>
          <w:sz w:val="22"/>
          <w:szCs w:val="22"/>
        </w:rPr>
      </w:r>
      <w:r>
        <w:rPr>
          <w:rFonts w:ascii="Arial" w:hAnsi="Arial" w:eastAsia="Arial" w:cs="Arial"/>
          <w:b/>
          <w:bCs/>
          <w:color w:val="auto"/>
          <w:sz w:val="22"/>
          <w:szCs w:val="22"/>
        </w:rPr>
      </w:r>
    </w:p>
    <w:p w14:paraId="3A2B4706">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La participación en COPUCI 2026 constituyó una instancia específica de actualización profesional en un campo directamente vinculado con las tareas de comunicación pública de la ciencia que desarrolla la institución. El congreso permi</w:t>
      </w:r>
      <w:r>
        <w:rPr>
          <w:rFonts w:ascii="Arial" w:hAnsi="Arial" w:eastAsia="Arial" w:cs="Arial"/>
          <w:color w:val="auto"/>
          <w:sz w:val="22"/>
          <w:szCs w:val="22"/>
          <w:lang w:val="es-AR"/>
        </w:rPr>
        <w:t xml:space="preserve">tió conocer experiencias recientes, enfoques conceptuales, herramientas narrativas y criterios de trabajo que actualmente orientan la comunicación científica en universidades, organismos públicos, centros de investigación, medios y proyectos territoriales.</w:t>
      </w:r>
      <w:r>
        <w:rPr>
          <w:rFonts w:ascii="Arial" w:hAnsi="Arial" w:eastAsia="Arial" w:cs="Arial"/>
          <w:color w:val="auto"/>
          <w:sz w:val="22"/>
          <w:szCs w:val="22"/>
        </w:rPr>
      </w:r>
      <w:r>
        <w:rPr>
          <w:rFonts w:ascii="Arial" w:hAnsi="Arial" w:eastAsia="Arial" w:cs="Arial"/>
          <w:color w:val="auto"/>
          <w:sz w:val="22"/>
          <w:szCs w:val="22"/>
        </w:rPr>
      </w:r>
    </w:p>
    <w:p w14:paraId="4A7F566C">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Los espacios recorridos aportaron insumos para comprender con mayor precisión los modos contemporáneos de circulación del c</w:t>
      </w:r>
      <w:r>
        <w:rPr>
          <w:rFonts w:ascii="Arial" w:hAnsi="Arial" w:eastAsia="Arial" w:cs="Arial"/>
          <w:color w:val="auto"/>
          <w:sz w:val="22"/>
          <w:szCs w:val="22"/>
          <w:lang w:val="es-AR"/>
        </w:rPr>
        <w:t xml:space="preserve">onocimiento científico, especialmente en contextos atravesados por la digitalización, la multiplicación de plataformas, la demanda de información confiable, la circulación de desinformación y la necesidad de sostener vínculos claros con distintos públicos.</w:t>
      </w:r>
      <w:r>
        <w:rPr>
          <w:rFonts w:ascii="Arial" w:hAnsi="Arial" w:eastAsia="Arial" w:cs="Arial"/>
          <w:color w:val="auto"/>
          <w:sz w:val="22"/>
          <w:szCs w:val="22"/>
        </w:rPr>
      </w:r>
      <w:r>
        <w:rPr>
          <w:rFonts w:ascii="Arial" w:hAnsi="Arial" w:eastAsia="Arial" w:cs="Arial"/>
          <w:color w:val="auto"/>
          <w:sz w:val="22"/>
          <w:szCs w:val="22"/>
        </w:rPr>
      </w:r>
    </w:p>
    <w:p w14:paraId="5D436C5A">
      <w:pPr>
        <w:pBdr/>
        <w:spacing w:line="276" w:lineRule="auto"/>
        <w:ind/>
        <w:jc w:val="both"/>
        <w:rPr>
          <w:rFonts w:ascii="Arial" w:hAnsi="Arial" w:cs="Arial"/>
          <w:color w:val="auto"/>
          <w:sz w:val="22"/>
          <w:szCs w:val="22"/>
          <w:highlight w:val="none"/>
        </w:rPr>
      </w:pPr>
      <w:r>
        <w:rPr>
          <w:rFonts w:ascii="Arial" w:hAnsi="Arial" w:eastAsia="Arial" w:cs="Arial"/>
          <w:color w:val="auto"/>
          <w:sz w:val="22"/>
          <w:szCs w:val="22"/>
          <w:lang w:val="es-AR"/>
        </w:rPr>
        <w:t xml:space="preserve">Como resultado de la participación en el Workshop de comunicación y periodismo en ciencias, se sistematizó además un relevamiento de contactos, instituciones, medios y proyectos vinculados </w:t>
      </w:r>
      <w:r>
        <w:rPr>
          <w:rFonts w:ascii="Arial" w:hAnsi="Arial" w:eastAsia="Arial" w:cs="Arial"/>
          <w:color w:val="auto"/>
          <w:sz w:val="22"/>
          <w:szCs w:val="22"/>
          <w:lang w:val="es-AR"/>
        </w:rPr>
        <w:t xml:space="preserve">con la comunicación pública de la ciencia, que se incorpora como Anexo I en formato Excel. Este material constituye un insumo de consulta para eventuales intercambios profesionales, articulaciones futuras o seguimiento de experiencias relevantes del campo.</w:t>
      </w:r>
      <w:r>
        <w:rPr>
          <w:rFonts w:ascii="Arial" w:hAnsi="Arial" w:eastAsia="Arial" w:cs="Arial"/>
          <w:color w:val="auto"/>
          <w:sz w:val="22"/>
          <w:szCs w:val="22"/>
          <w:highlight w:val="none"/>
          <w:lang w:val="es-AR"/>
        </w:rPr>
      </w:r>
      <w:r>
        <w:rPr>
          <w:rFonts w:ascii="Arial" w:hAnsi="Arial" w:eastAsia="Arial" w:cs="Arial"/>
          <w:color w:val="auto"/>
          <w:sz w:val="22"/>
          <w:szCs w:val="22"/>
          <w:highlight w:val="none"/>
          <w:lang w:val="es-AR"/>
        </w:rPr>
      </w:r>
    </w:p>
    <w:p w14:paraId="7F5D31D0">
      <w:pPr>
        <w:pBdr>
          <w:top w:val="none" w:color="000000" w:sz="4" w:space="0"/>
          <w:left w:val="none" w:color="000000" w:sz="4" w:space="0"/>
          <w:bottom w:val="none" w:color="000000" w:sz="4" w:space="0"/>
          <w:right w:val="none" w:color="000000" w:sz="4" w:space="0"/>
        </w:pBdr>
        <w:spacing w:line="276" w:lineRule="auto"/>
        <w:ind w:right="0" w:firstLine="0" w:left="0"/>
        <w:rPr>
          <w:rFonts w:ascii="Arial" w:hAnsi="Arial" w:cs="Arial"/>
          <w:sz w:val="22"/>
          <w:szCs w:val="22"/>
        </w:rPr>
      </w:pPr>
      <w:r>
        <w:rPr>
          <w:rFonts w:ascii="Arial" w:hAnsi="Arial" w:eastAsia="Arial" w:cs="Arial"/>
          <w:color w:val="000000"/>
          <w:sz w:val="22"/>
          <w:szCs w:val="22"/>
          <w:lang w:val="es-AR"/>
        </w:rPr>
        <w:t xml:space="preserve">Como resultado de la participación en el Workshop de comunicación y periodismo en ciencias, se sistematizó además un relevamiento de </w:t>
      </w:r>
      <w:r>
        <w:rPr>
          <w:rFonts w:ascii="Arial" w:hAnsi="Arial" w:eastAsia="Arial" w:cs="Arial"/>
          <w:b/>
          <w:color w:val="000000"/>
          <w:sz w:val="22"/>
          <w:szCs w:val="22"/>
          <w:lang w:val="es-AR"/>
        </w:rPr>
        <w:t xml:space="preserve">55 contactos de medios, instituciones, proyectos y equipos de comunicación pública de la ciencia</w:t>
      </w:r>
      <w:r>
        <w:rPr>
          <w:rFonts w:ascii="Arial" w:hAnsi="Arial" w:eastAsia="Arial" w:cs="Arial"/>
          <w:color w:val="000000"/>
          <w:sz w:val="22"/>
          <w:szCs w:val="22"/>
          <w:lang w:val="es-AR"/>
        </w:rPr>
        <w:t xml:space="preserve">, tanto del país como del exterior, que participaron de las actividades del congreso. Este material se incorpora como </w:t>
      </w:r>
      <w:r>
        <w:rPr>
          <w:rFonts w:ascii="Arial" w:hAnsi="Arial" w:eastAsia="Arial" w:cs="Arial"/>
          <w:b/>
          <w:color w:val="000000"/>
          <w:sz w:val="22"/>
          <w:szCs w:val="22"/>
          <w:lang w:val="es-AR"/>
        </w:rPr>
        <w:t xml:space="preserve">Anexo I en formato Excel</w:t>
      </w:r>
      <w:r>
        <w:rPr>
          <w:rFonts w:ascii="Arial" w:hAnsi="Arial" w:eastAsia="Arial" w:cs="Arial"/>
          <w:color w:val="000000"/>
          <w:sz w:val="22"/>
          <w:szCs w:val="22"/>
          <w:lang w:val="es-AR"/>
        </w:rPr>
        <w:t xml:space="preserve"> y constituye un insumo de consulta para eventuales intercambios profesionales, articulaciones futuras o seguimiento de experiencias relevantes del campo.</w:t>
      </w:r>
      <w:r>
        <w:rPr>
          <w:rFonts w:ascii="Arial" w:hAnsi="Arial" w:eastAsia="Arial" w:cs="Arial"/>
          <w:sz w:val="22"/>
          <w:szCs w:val="22"/>
        </w:rPr>
      </w:r>
      <w:r>
        <w:rPr>
          <w:rFonts w:ascii="Arial" w:hAnsi="Arial" w:eastAsia="Arial" w:cs="Arial"/>
          <w:sz w:val="22"/>
          <w:szCs w:val="22"/>
        </w:rPr>
      </w:r>
    </w:p>
    <w:p w14:paraId="12564160">
      <w:pPr>
        <w:pStyle w:val="139"/>
        <w:pBdr/>
        <w:spacing w:line="276" w:lineRule="auto"/>
        <w:ind/>
        <w:rPr>
          <w:rFonts w:ascii="Arial" w:hAnsi="Arial" w:cs="Arial"/>
          <w:b/>
          <w:bCs/>
          <w:color w:val="auto"/>
          <w:sz w:val="22"/>
          <w:szCs w:val="22"/>
        </w:rPr>
      </w:pPr>
      <w:r>
        <w:rPr>
          <w:rFonts w:ascii="Arial" w:hAnsi="Arial" w:eastAsia="Arial" w:cs="Arial"/>
          <w:b/>
          <w:bCs/>
          <w:color w:val="auto"/>
          <w:sz w:val="22"/>
          <w:szCs w:val="22"/>
          <w:lang w:val="es-AR"/>
        </w:rPr>
        <w:t xml:space="preserve">Consideraciones finales</w:t>
      </w:r>
      <w:r>
        <w:rPr>
          <w:rFonts w:ascii="Arial" w:hAnsi="Arial" w:eastAsia="Arial" w:cs="Arial"/>
          <w:b/>
          <w:bCs/>
          <w:color w:val="auto"/>
          <w:sz w:val="22"/>
          <w:szCs w:val="22"/>
        </w:rPr>
      </w:r>
      <w:r>
        <w:rPr>
          <w:rFonts w:ascii="Arial" w:hAnsi="Arial" w:eastAsia="Arial" w:cs="Arial"/>
          <w:b/>
          <w:bCs/>
          <w:color w:val="auto"/>
          <w:sz w:val="22"/>
          <w:szCs w:val="22"/>
        </w:rPr>
      </w:r>
    </w:p>
    <w:p w14:paraId="15A107F1">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El X Congreso Internacional de Comunicación Pública de la Ciencia y Tecnología permitió reconocer la consolidación de la comunicación científica como un </w:t>
      </w:r>
      <w:r>
        <w:rPr>
          <w:rFonts w:ascii="Arial" w:hAnsi="Arial" w:eastAsia="Arial" w:cs="Arial"/>
          <w:color w:val="auto"/>
          <w:sz w:val="22"/>
          <w:szCs w:val="22"/>
          <w:lang w:val="es-AR"/>
        </w:rPr>
        <w:t xml:space="preserve">campo profesional estratégico para los organismos científico-tecnológicos. Las actividades desarrolladas pusieron en evidencia la importancia de sostener prácticas comunicacionales rigurosas, situadas, accesibles y adecuadas a los lenguajes contemporáneos.</w:t>
      </w:r>
      <w:r>
        <w:rPr>
          <w:rFonts w:ascii="Arial" w:hAnsi="Arial" w:eastAsia="Arial" w:cs="Arial"/>
          <w:color w:val="auto"/>
          <w:sz w:val="22"/>
          <w:szCs w:val="22"/>
        </w:rPr>
      </w:r>
      <w:r>
        <w:rPr>
          <w:rFonts w:ascii="Arial" w:hAnsi="Arial" w:eastAsia="Arial" w:cs="Arial"/>
          <w:color w:val="auto"/>
          <w:sz w:val="22"/>
          <w:szCs w:val="22"/>
        </w:rPr>
      </w:r>
    </w:p>
    <w:p w14:paraId="23F47A48">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La participación institucional en este espacio resultó pertinen</w:t>
      </w:r>
      <w:r>
        <w:rPr>
          <w:rFonts w:ascii="Arial" w:hAnsi="Arial" w:eastAsia="Arial" w:cs="Arial"/>
          <w:color w:val="auto"/>
          <w:sz w:val="22"/>
          <w:szCs w:val="22"/>
          <w:lang w:val="es-AR"/>
        </w:rPr>
        <w:t xml:space="preserve">te para fortalecer la formación profesional en comunicación pública de la ciencia, actualizar perspectivas de trabajo y tomar contacto con experiencias que integran gestión, educación, periodismo, tecnología, narrativas digitales y participación ciudadana.</w:t>
      </w:r>
      <w:r>
        <w:rPr>
          <w:rFonts w:ascii="Arial" w:hAnsi="Arial" w:eastAsia="Arial" w:cs="Arial"/>
          <w:color w:val="auto"/>
          <w:sz w:val="22"/>
          <w:szCs w:val="22"/>
        </w:rPr>
      </w:r>
      <w:r>
        <w:rPr>
          <w:rFonts w:ascii="Arial" w:hAnsi="Arial" w:eastAsia="Arial" w:cs="Arial"/>
          <w:color w:val="auto"/>
          <w:sz w:val="22"/>
          <w:szCs w:val="22"/>
        </w:rPr>
      </w:r>
    </w:p>
    <w:p w14:paraId="4B42F1FA">
      <w:pPr>
        <w:pBdr/>
        <w:spacing w:line="276" w:lineRule="auto"/>
        <w:ind/>
        <w:jc w:val="both"/>
        <w:rPr>
          <w:rFonts w:ascii="Arial" w:hAnsi="Arial" w:cs="Arial"/>
          <w:color w:val="auto"/>
          <w:sz w:val="22"/>
          <w:szCs w:val="22"/>
        </w:rPr>
      </w:pPr>
      <w:r>
        <w:rPr>
          <w:rFonts w:ascii="Arial" w:hAnsi="Arial" w:eastAsia="Arial" w:cs="Arial"/>
          <w:color w:val="auto"/>
          <w:sz w:val="22"/>
          <w:szCs w:val="22"/>
          <w:lang w:val="es-AR"/>
        </w:rPr>
        <w:t xml:space="preserve">En ese sentido, la asistencia al COPUCI 2026 representó una oportunidad de actualización y vinculación profesional que contribuye al desempeño de tareas asoci</w:t>
      </w:r>
      <w:r>
        <w:rPr>
          <w:rFonts w:ascii="Arial" w:hAnsi="Arial" w:eastAsia="Arial" w:cs="Arial"/>
          <w:color w:val="auto"/>
          <w:sz w:val="22"/>
          <w:szCs w:val="22"/>
          <w:lang w:val="es-AR"/>
        </w:rPr>
        <w:t xml:space="preserve">adas con la comunicación del conocimiento científico y tecnológico producido por organismos de investigación, especialmente en contextos donde la confianza pública, la claridad informativa y la relación con el territorio adquieren una relevancia creciente.</w:t>
      </w:r>
      <w:r>
        <w:rPr>
          <w:rFonts w:ascii="Arial" w:hAnsi="Arial" w:eastAsia="Arial" w:cs="Arial"/>
          <w:color w:val="auto"/>
          <w:sz w:val="22"/>
          <w:szCs w:val="22"/>
        </w:rPr>
      </w:r>
      <w:r>
        <w:rPr>
          <w:rFonts w:ascii="Arial" w:hAnsi="Arial" w:eastAsia="Arial" w:cs="Arial"/>
          <w:color w:val="auto"/>
          <w:sz w:val="22"/>
          <w:szCs w:val="22"/>
        </w:rPr>
      </w:r>
    </w:p>
    <w:p w14:paraId="4D18B74B">
      <w:pPr>
        <w:pBdr/>
        <w:spacing w:line="276" w:lineRule="auto"/>
        <w:ind/>
        <w:jc w:val="left"/>
        <w:rPr>
          <w:rFonts w:ascii="Arial" w:hAnsi="Arial" w:cs="Arial"/>
          <w:color w:val="auto"/>
          <w:sz w:val="22"/>
          <w:szCs w:val="22"/>
        </w:rPr>
      </w:pPr>
      <w:r>
        <w:rPr>
          <w:rFonts w:ascii="Arial" w:hAnsi="Arial" w:eastAsia="Arial" w:cs="Arial"/>
          <w:color w:val="auto"/>
          <w:sz w:val="22"/>
          <w:szCs w:val="22"/>
          <w:lang w:val="es-AR"/>
        </w:rPr>
        <w:t xml:space="preserve">Atentamente,</w:t>
      </w:r>
      <w:r>
        <w:rPr>
          <w:rFonts w:ascii="Arial" w:hAnsi="Arial" w:eastAsia="Arial" w:cs="Arial"/>
          <w:color w:val="auto"/>
          <w:sz w:val="22"/>
          <w:szCs w:val="22"/>
        </w:rPr>
      </w:r>
      <w:r>
        <w:rPr>
          <w:rFonts w:ascii="Arial" w:hAnsi="Arial" w:eastAsia="Arial" w:cs="Arial"/>
          <w:color w:val="auto"/>
          <w:sz w:val="22"/>
          <w:szCs w:val="22"/>
        </w:rPr>
      </w:r>
    </w:p>
    <w:p w14:paraId="2B68275A">
      <w:pPr>
        <w:pBdr/>
        <w:spacing w:line="276" w:lineRule="auto"/>
        <w:ind/>
        <w:jc w:val="left"/>
        <w:rPr>
          <w:rFonts w:ascii="Arial" w:hAnsi="Arial" w:cs="Arial"/>
          <w:color w:val="auto"/>
          <w:sz w:val="22"/>
          <w:szCs w:val="22"/>
        </w:rPr>
      </w:pPr>
      <w:r>
        <w:rPr>
          <w:rFonts w:ascii="Arial" w:hAnsi="Arial" w:eastAsia="Arial" w:cs="Arial"/>
          <w:color w:val="auto"/>
          <w:sz w:val="22"/>
          <w:szCs w:val="22"/>
          <w:lang w:val="es-AR" w:bidi="es-AR"/>
        </w:rPr>
      </w:r>
      <w:r>
        <w:rPr>
          <w:rFonts w:ascii="Arial" w:hAnsi="Arial" w:eastAsia="Arial" w:cs="Arial"/>
          <w:color w:val="auto"/>
          <w:sz w:val="22"/>
          <w:szCs w:val="22"/>
        </w:rPr>
      </w:r>
      <w:r>
        <w:rPr>
          <w:rFonts w:ascii="Arial" w:hAnsi="Arial" w:eastAsia="Arial" w:cs="Arial"/>
          <w:color w:val="auto"/>
          <w:sz w:val="22"/>
          <w:szCs w:val="22"/>
        </w:rPr>
      </w:r>
    </w:p>
    <w:p w14:paraId="52B20569">
      <w:pPr>
        <w:pBdr/>
        <w:spacing w:line="276" w:lineRule="auto"/>
        <w:ind/>
        <w:jc w:val="left"/>
        <w:rPr>
          <w:rFonts w:ascii="Arial" w:hAnsi="Arial" w:cs="Arial"/>
          <w:color w:val="auto"/>
          <w:sz w:val="22"/>
          <w:szCs w:val="22"/>
        </w:rPr>
      </w:pPr>
      <w:r>
        <w:rPr>
          <w:rFonts w:ascii="Arial" w:hAnsi="Arial" w:eastAsia="Arial" w:cs="Arial"/>
          <w:b/>
          <w:color w:val="auto"/>
          <w:sz w:val="22"/>
          <w:szCs w:val="22"/>
          <w:lang w:val="es-AR"/>
        </w:rPr>
        <w:t xml:space="preserve">Lic. María Soledad Burgos</w:t>
      </w:r>
      <w:r>
        <w:rPr>
          <w:rFonts w:ascii="Arial" w:hAnsi="Arial" w:eastAsia="Arial" w:cs="Arial"/>
          <w:color w:val="auto"/>
          <w:sz w:val="22"/>
          <w:szCs w:val="22"/>
        </w:rPr>
      </w:r>
      <w:r>
        <w:rPr>
          <w:rFonts w:ascii="Arial" w:hAnsi="Arial" w:eastAsia="Arial" w:cs="Arial"/>
          <w:color w:val="auto"/>
          <w:sz w:val="22"/>
          <w:szCs w:val="22"/>
        </w:rPr>
      </w:r>
    </w:p>
    <w:p w14:paraId="5D8C6848">
      <w:pPr>
        <w:pBdr/>
        <w:spacing w:line="276" w:lineRule="auto"/>
        <w:ind/>
        <w:jc w:val="left"/>
        <w:rPr>
          <w:rFonts w:ascii="Arial" w:hAnsi="Arial" w:eastAsia="Arial" w:cs="Arial"/>
          <w:color w:val="auto"/>
          <w:sz w:val="22"/>
          <w:szCs w:val="22"/>
          <w:highlight w:val="none"/>
          <w:lang w:val="es-AR"/>
        </w:rPr>
      </w:pPr>
      <w:r>
        <w:rPr>
          <w:rFonts w:ascii="Arial" w:hAnsi="Arial" w:eastAsia="Arial" w:cs="Arial"/>
          <w:b/>
          <w:color w:val="auto"/>
          <w:sz w:val="22"/>
          <w:szCs w:val="22"/>
          <w:lang w:val="es-AR"/>
        </w:rPr>
        <w:t xml:space="preserve">Lic. Carolina Córdoba</w:t>
      </w:r>
      <w:r>
        <w:rPr>
          <w:rFonts w:ascii="Arial" w:hAnsi="Arial" w:eastAsia="Arial" w:cs="Arial"/>
          <w:color w:val="auto"/>
          <w:sz w:val="22"/>
          <w:szCs w:val="22"/>
          <w:highlight w:val="none"/>
          <w:lang w:val="es-AR"/>
        </w:rPr>
      </w:r>
      <w:r>
        <w:rPr>
          <w:rFonts w:ascii="Arial" w:hAnsi="Arial" w:cs="Arial"/>
          <w:color w:val="auto"/>
          <w:sz w:val="22"/>
          <w:szCs w:val="22"/>
          <w:highlight w:val="none"/>
        </w:rPr>
      </w:r>
    </w:p>
    <w:p w14:paraId="11F83063">
      <w:pPr>
        <w:pBdr/>
        <w:shd w:val="nil"/>
        <w:spacing/>
        <w:ind/>
        <w:rPr>
          <w:rFonts w:ascii="Arial" w:hAnsi="Arial" w:cs="Arial"/>
          <w:color w:val="auto"/>
          <w:sz w:val="22"/>
          <w:szCs w:val="22"/>
          <w:highlight w:val="none"/>
        </w:rPr>
      </w:pPr>
      <w:r>
        <w:rPr>
          <w:rFonts w:ascii="Arial" w:hAnsi="Arial" w:cs="Arial"/>
          <w:color w:val="auto"/>
          <w:sz w:val="22"/>
          <w:szCs w:val="22"/>
          <w:highlight w:val="none"/>
        </w:rPr>
        <w:br w:type="page" w:clear="all"/>
      </w:r>
      <w:r>
        <w:rPr>
          <w:rFonts w:ascii="Arial" w:hAnsi="Arial" w:cs="Arial"/>
          <w:color w:val="auto"/>
          <w:sz w:val="22"/>
          <w:szCs w:val="22"/>
          <w:highlight w:val="none"/>
        </w:rPr>
      </w:r>
      <w:r>
        <w:rPr>
          <w:rFonts w:ascii="Arial" w:hAnsi="Arial" w:cs="Arial"/>
          <w:color w:val="auto"/>
          <w:sz w:val="22"/>
          <w:szCs w:val="22"/>
          <w:highlight w:val="none"/>
        </w:rPr>
      </w:r>
    </w:p>
    <w:p w14:paraId="359CA30D">
      <w:pPr>
        <w:pBdr/>
        <w:spacing w:line="276" w:lineRule="auto"/>
        <w:ind/>
        <w:jc w:val="left"/>
        <w:rPr>
          <w:rFonts w:ascii="Arial" w:hAnsi="Arial" w:eastAsia="Arial" w:cs="Arial"/>
          <w:color w:val="auto"/>
          <w:sz w:val="22"/>
          <w:szCs w:val="22"/>
          <w:highlight w:val="none"/>
          <w:lang w:val="es-AR"/>
        </w:rPr>
      </w:pPr>
      <w:r>
        <w:rPr>
          <w:rFonts w:ascii="Arial" w:hAnsi="Arial" w:eastAsia="Arial" w:cs="Arial"/>
          <w:color w:val="auto"/>
          <w:sz w:val="22"/>
          <w:szCs w:val="22"/>
          <w:highlight w:val="none"/>
          <w:lang w:val="es-AR"/>
        </w:rPr>
        <mc:AlternateContent>
          <mc:Choice Requires="wpg">
            <w:drawing>
              <wp:inline xmlns:wp="http://schemas.openxmlformats.org/drawingml/2006/wordprocessingDrawing" distT="0" distB="0" distL="0" distR="0">
                <wp:extent cx="3422990" cy="2857144"/>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665564" name=""/>
                        <pic:cNvPicPr>
                          <a:picLocks noChangeAspect="1"/>
                        </pic:cNvPicPr>
                        <pic:nvPr/>
                      </pic:nvPicPr>
                      <pic:blipFill rotWithShape="1">
                        <a:blip r:embed="rId10"/>
                        <a:stretch/>
                      </pic:blipFill>
                      <pic:spPr bwMode="auto">
                        <a:xfrm flipH="0" flipV="0">
                          <a:off x="0" y="0"/>
                          <a:ext cx="3422989" cy="285714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269.53pt;height:224.97pt;mso-wrap-distance-left:0.00pt;mso-wrap-distance-top:0.00pt;mso-wrap-distance-right:0.00pt;mso-wrap-distance-bottom:0.00pt;z-index:1;" stroked="false">
                <v:imagedata r:id="rId10" o:title=""/>
                <o:lock v:ext="edit" rotation="t"/>
              </v:shape>
            </w:pict>
          </mc:Fallback>
        </mc:AlternateContent>
      </w:r>
      <w:r>
        <w:rPr>
          <w:rFonts w:ascii="Arial" w:hAnsi="Arial" w:eastAsia="Arial" w:cs="Arial"/>
          <w:color w:val="auto"/>
          <w:sz w:val="22"/>
          <w:szCs w:val="22"/>
          <w:highlight w:val="none"/>
          <w:lang w:val="es-AR"/>
        </w:rPr>
      </w:r>
      <w:r>
        <w:rPr>
          <w:rFonts w:ascii="Arial" w:hAnsi="Arial" w:cs="Arial"/>
          <w:color w:val="auto"/>
          <w:sz w:val="22"/>
          <w:szCs w:val="22"/>
          <w:highlight w:val="none"/>
        </w:rPr>
      </w:r>
    </w:p>
    <w:p w14:paraId="39EE4534">
      <w:pPr>
        <w:pBdr/>
        <w:spacing w:line="276" w:lineRule="auto"/>
        <w:ind/>
        <w:jc w:val="left"/>
        <w:rPr>
          <w:rFonts w:ascii="Arial" w:hAnsi="Arial" w:cs="Arial"/>
          <w:color w:val="auto"/>
          <w:sz w:val="22"/>
          <w:szCs w:val="22"/>
          <w:highlight w:val="none"/>
        </w:rPr>
      </w:pPr>
      <w:r>
        <w:rPr>
          <w:rFonts w:ascii="Arial" w:hAnsi="Arial" w:cs="Arial"/>
          <w:color w:val="auto"/>
          <w:sz w:val="22"/>
          <w:szCs w:val="22"/>
          <w:highlight w:val="none"/>
        </w:rPr>
      </w:r>
      <w:r>
        <w:rPr>
          <w:rFonts w:ascii="Arial" w:hAnsi="Arial" w:cs="Arial"/>
          <w:color w:val="auto"/>
          <w:sz w:val="22"/>
          <w:szCs w:val="22"/>
          <w:highlight w:val="none"/>
        </w:rPr>
      </w:r>
      <w:r>
        <w:rPr>
          <w:rFonts w:ascii="Arial" w:hAnsi="Arial" w:cs="Arial"/>
          <w:color w:val="auto"/>
          <w:sz w:val="22"/>
          <w:szCs w:val="22"/>
          <w:highlight w:val="none"/>
        </w:rPr>
      </w:r>
    </w:p>
    <w:p w14:paraId="505F93DF">
      <w:pPr>
        <w:pBdr/>
        <w:spacing w:line="276" w:lineRule="auto"/>
        <w:ind/>
        <w:jc w:val="left"/>
        <w:rPr>
          <w:rFonts w:ascii="Arial" w:hAnsi="Arial" w:cs="Arial"/>
          <w:color w:val="auto"/>
          <w:sz w:val="22"/>
          <w:szCs w:val="22"/>
          <w:highlight w:val="none"/>
        </w:rPr>
      </w:pPr>
      <w:r>
        <w:rPr>
          <w:rFonts w:ascii="Arial" w:hAnsi="Arial" w:eastAsia="Arial" w:cs="Arial"/>
          <w:color w:val="auto"/>
          <w:sz w:val="22"/>
          <w:szCs w:val="22"/>
          <w:highlight w:val="none"/>
          <w:lang w:val="es-AR"/>
        </w:rPr>
      </w:r>
      <w:r>
        <w:rPr>
          <w:rFonts w:ascii="Arial" w:hAnsi="Arial" w:eastAsia="Arial" w:cs="Arial"/>
          <w:color w:val="auto"/>
          <w:sz w:val="22"/>
          <w:szCs w:val="22"/>
          <w:highlight w:val="none"/>
          <w:lang w:val="es-AR"/>
        </w:rPr>
      </w:r>
      <w:r>
        <w:rPr>
          <w:rFonts w:ascii="Arial" w:hAnsi="Arial" w:eastAsia="Arial" w:cs="Arial"/>
          <w:color w:val="auto"/>
          <w:sz w:val="22"/>
          <w:szCs w:val="22"/>
          <w:highlight w:val="none"/>
          <w:lang w:val="es-AR"/>
        </w:rPr>
      </w:r>
    </w:p>
    <w:p>
      <w:pPr>
        <w:pStyle w:val="761"/>
        <w:pBdr/>
        <w:spacing w:line="276" w:lineRule="auto"/>
        <w:ind/>
        <w:rPr>
          <w:rFonts w:ascii="Arial" w:hAnsi="Arial" w:cs="Arial"/>
          <w:sz w:val="22"/>
          <w:szCs w:val="22"/>
        </w:rPr>
      </w:pPr>
      <w:r>
        <w:rPr>
          <w:rFonts w:ascii="Arial" w:hAnsi="Arial" w:eastAsia="Arial" w:cs="Arial"/>
          <w:sz w:val="22"/>
          <w:szCs w:val="22"/>
        </w:rPr>
      </w:r>
      <w:r>
        <w:rPr>
          <w:rFonts w:ascii="Arial" w:hAnsi="Arial" w:eastAsia="Arial" w:cs="Arial"/>
          <w:sz w:val="22"/>
          <w:szCs w:val="22"/>
        </w:rPr>
      </w:r>
    </w:p>
    <w:p>
      <w:pPr>
        <w:pStyle w:val="761"/>
        <w:pBdr/>
        <w:spacing w:line="276" w:lineRule="auto"/>
        <w:ind/>
        <w:rPr>
          <w:rFonts w:ascii="Arial" w:hAnsi="Arial" w:cs="Arial"/>
          <w:sz w:val="22"/>
          <w:szCs w:val="22"/>
        </w:rPr>
      </w:pPr>
      <w:r>
        <w:rPr>
          <w:rFonts w:ascii="Arial" w:hAnsi="Arial" w:eastAsia="Arial" w:cs="Arial"/>
          <w:sz w:val="22"/>
          <w:szCs w:val="22"/>
        </w:rPr>
      </w:r>
      <w:bookmarkStart w:id="0" w:name="_GoBack"/>
      <w:r>
        <w:rPr>
          <w:rFonts w:ascii="Arial" w:hAnsi="Arial" w:eastAsia="Arial" w:cs="Arial"/>
          <w:sz w:val="22"/>
          <w:szCs w:val="22"/>
        </w:rPr>
      </w:r>
      <w:bookmarkEnd w:id="0"/>
      <w:r>
        <w:rPr>
          <w:rFonts w:ascii="Arial" w:hAnsi="Arial" w:eastAsia="Arial" w:cs="Arial"/>
          <w:sz w:val="22"/>
          <w:szCs w:val="22"/>
        </w:rPr>
        <mc:AlternateContent>
          <mc:Choice Requires="wpg">
            <w:drawing>
              <wp:inline xmlns:wp="http://schemas.openxmlformats.org/drawingml/2006/wordprocessingDrawing" distT="0" distB="0" distL="0" distR="0">
                <wp:extent cx="2851490" cy="3797753"/>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89666" name=""/>
                        <pic:cNvPicPr>
                          <a:picLocks noChangeAspect="1"/>
                        </pic:cNvPicPr>
                        <pic:nvPr/>
                      </pic:nvPicPr>
                      <pic:blipFill rotWithShape="1">
                        <a:blip r:embed="rId11"/>
                        <a:stretch/>
                      </pic:blipFill>
                      <pic:spPr bwMode="auto">
                        <a:xfrm flipH="0" flipV="0">
                          <a:off x="0" y="0"/>
                          <a:ext cx="2851489" cy="37977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224.53pt;height:299.04pt;mso-wrap-distance-left:0.00pt;mso-wrap-distance-top:0.00pt;mso-wrap-distance-right:0.00pt;mso-wrap-distance-bottom:0.00pt;z-index:1;" stroked="false">
                <v:imagedata r:id="rId11" o:title=""/>
                <o:lock v:ext="edit" rotation="t"/>
              </v:shape>
            </w:pict>
          </mc:Fallback>
        </mc:AlternateContent>
      </w:r>
      <w:r>
        <w:rPr>
          <w:rFonts w:ascii="Arial" w:hAnsi="Arial" w:eastAsia="Arial" w:cs="Arial"/>
          <w:sz w:val="22"/>
          <w:szCs w:val="22"/>
        </w:rPr>
      </w:r>
    </w:p>
    <w:sectPr>
      <w:headerReference w:type="default" r:id="rId8"/>
      <w:footerReference w:type="default" r:id="rId9"/>
      <w:footnotePr/>
      <w:endnotePr/>
      <w:type w:val="continuous"/>
      <w:pgSz w:h="16840" w:orient="portrait" w:w="11910"/>
      <w:pgMar w:top="2410" w:right="853" w:bottom="1985" w:left="851" w:header="720" w:footer="720" w:gutter="0"/>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162156962"/>
      <w:docPartObj>
        <w:docPartGallery w:val="Page Numbers (Bottom of Page)"/>
        <w:docPartUnique w:val="true"/>
      </w:docPartObj>
      <w:rPr/>
    </w:sdtPr>
    <w:sdtContent>
      <w:p>
        <w:pPr>
          <w:pStyle w:val="766"/>
          <w:pBdr/>
          <w:spacing/>
          <w:ind/>
          <w:jc w:val="center"/>
          <w:rPr/>
        </w:pPr>
        <w:r>
          <w:rPr>
            <w:lang w:val="es-AR" w:eastAsia="es-AR"/>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1" locked="0" layoutInCell="1" allowOverlap="1">
                  <wp:simplePos x="0" y="0"/>
                  <wp:positionH relativeFrom="column">
                    <wp:posOffset>-662305</wp:posOffset>
                  </wp:positionH>
                  <wp:positionV relativeFrom="paragraph">
                    <wp:posOffset>-705181</wp:posOffset>
                  </wp:positionV>
                  <wp:extent cx="7720959" cy="1717482"/>
                  <wp:effectExtent l="0" t="0" r="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 hoja mebretada silvio.jpg"/>
                          <pic:cNvPicPr>
                            <a:picLocks noChangeAspect="1"/>
                          </pic:cNvPicPr>
                          <pic:nvPr/>
                        </pic:nvPicPr>
                        <pic:blipFill rotWithShape="1">
                          <a:blip r:embed="rId1"/>
                          <a:stretch/>
                        </pic:blipFill>
                        <pic:spPr bwMode="auto">
                          <a:xfrm>
                            <a:off x="0" y="0"/>
                            <a:ext cx="7720959" cy="1717482"/>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position:absolute;z-index:-251658240;o:allowoverlap:true;o:allowincell:true;mso-position-horizontal-relative:text;margin-left:-52.15pt;mso-position-horizontal:absolute;mso-position-vertical-relative:text;margin-top:-55.53pt;mso-position-vertical:absolute;width:607.95pt;height:135.23pt;mso-wrap-distance-left:9.00pt;mso-wrap-distance-top:0.00pt;mso-wrap-distance-right:9.00pt;mso-wrap-distance-bottom:0.00pt;z-index:1;" stroked="false">
                  <v:imagedata r:id="rId1" o:title=""/>
                  <o:lock v:ext="edit" rotation="t"/>
                </v:shape>
              </w:pict>
            </mc:Fallback>
          </mc:AlternateContent>
        </w:r>
        <w:r/>
      </w:p>
      <w:p>
        <w:pPr>
          <w:pStyle w:val="766"/>
          <w:pBdr/>
          <w:spacing/>
          <w:ind/>
          <w:jc w:val="center"/>
          <w:rPr/>
        </w:pPr>
        <w:r/>
        <w:r/>
      </w:p>
    </w:sdtContent>
  </w:sdt>
  <w:p>
    <w:pPr>
      <w:pStyle w:val="766"/>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764"/>
      <w:pBdr/>
      <w:spacing/>
      <w:ind w:right="-1"/>
      <w:rPr/>
    </w:pPr>
    <w:r>
      <w:rPr>
        <w:lang w:val="es-AR" w:eastAsia="es-AR"/>
      </w:rP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1" locked="0" layoutInCell="1" allowOverlap="1">
              <wp:simplePos x="0" y="0"/>
              <wp:positionH relativeFrom="column">
                <wp:posOffset>-517194</wp:posOffset>
              </wp:positionH>
              <wp:positionV relativeFrom="paragraph">
                <wp:posOffset>-448945</wp:posOffset>
              </wp:positionV>
              <wp:extent cx="7506485" cy="1669774"/>
              <wp:effectExtent l="0" t="0" r="0" b="698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hoja mebretada silvio.jpg"/>
                      <pic:cNvPicPr>
                        <a:picLocks noChangeAspect="1"/>
                      </pic:cNvPicPr>
                      <pic:nvPr/>
                    </pic:nvPicPr>
                    <pic:blipFill rotWithShape="1">
                      <a:blip r:embed="rId1"/>
                      <a:stretch/>
                    </pic:blipFill>
                    <pic:spPr bwMode="auto">
                      <a:xfrm>
                        <a:off x="0" y="0"/>
                        <a:ext cx="7506485" cy="1669774"/>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59264;o:allowoverlap:true;o:allowincell:true;mso-position-horizontal-relative:text;margin-left:-40.72pt;mso-position-horizontal:absolute;mso-position-vertical-relative:text;margin-top:-35.35pt;mso-position-vertical:absolute;width:591.06pt;height:131.48pt;mso-wrap-distance-left:9.00pt;mso-wrap-distance-top:0.00pt;mso-wrap-distance-right:9.00pt;mso-wrap-distance-bottom:0.00pt;z-index:1;" stroked="false">
              <v:imagedata r:id="rId1" o:title=""/>
              <o:lock v:ext="edit" rotation="t"/>
            </v:shape>
          </w:pict>
        </mc:Fallback>
      </mc:AlternateContent>
    </w: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lTrailSpace w:val="tru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widowControl w:val="false"/>
        <w:pBdr/>
        <w:spacing/>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w:basedOn w:val="758"/>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75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758"/>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758"/>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7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7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758"/>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758"/>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7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7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7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7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7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7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7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7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7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7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7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7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7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758"/>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758"/>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758"/>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758"/>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758"/>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758"/>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758"/>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758"/>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758"/>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758"/>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758"/>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758"/>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758"/>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758"/>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7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7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7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7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7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7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758"/>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758"/>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758"/>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7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758"/>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7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758"/>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758"/>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758"/>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758"/>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758"/>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758"/>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758"/>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758"/>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758"/>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7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7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7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7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7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7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758"/>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758"/>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758"/>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758"/>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758"/>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758"/>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758"/>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758"/>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7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758"/>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758"/>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758"/>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758"/>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758"/>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758"/>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758"/>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758"/>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758"/>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758"/>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758"/>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758"/>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758"/>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758"/>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758"/>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758"/>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758"/>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758"/>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758"/>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758"/>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758"/>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758"/>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758"/>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758"/>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758"/>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758"/>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758"/>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758"/>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758"/>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758"/>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758"/>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758"/>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758"/>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758"/>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7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7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7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7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7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7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758"/>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758"/>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758"/>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758"/>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758"/>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758"/>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758"/>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758"/>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758"/>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758"/>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758"/>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758"/>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758"/>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758"/>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758"/>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9">
    <w:name w:val="Heading 1"/>
    <w:basedOn w:val="756"/>
    <w:next w:val="756"/>
    <w:link w:val="150"/>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40">
    <w:name w:val="Heading 2"/>
    <w:basedOn w:val="756"/>
    <w:next w:val="756"/>
    <w:link w:val="151"/>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141">
    <w:name w:val="Heading 3"/>
    <w:basedOn w:val="756"/>
    <w:next w:val="756"/>
    <w:link w:val="152"/>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42">
    <w:name w:val="Heading 4"/>
    <w:basedOn w:val="756"/>
    <w:next w:val="756"/>
    <w:link w:val="15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3">
    <w:name w:val="Heading 5"/>
    <w:basedOn w:val="756"/>
    <w:next w:val="756"/>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756"/>
    <w:next w:val="756"/>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756"/>
    <w:next w:val="756"/>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756"/>
    <w:next w:val="756"/>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756"/>
    <w:next w:val="756"/>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0">
    <w:name w:val="Heading 1 Char"/>
    <w:basedOn w:val="757"/>
    <w:link w:val="139"/>
    <w:uiPriority w:val="9"/>
    <w:pPr>
      <w:pBdr/>
      <w:spacing/>
      <w:ind/>
    </w:pPr>
    <w:rPr>
      <w:rFonts w:ascii="Arial" w:hAnsi="Arial" w:eastAsia="Arial" w:cs="Arial"/>
      <w:color w:val="0f4761" w:themeColor="accent1" w:themeShade="BF"/>
      <w:sz w:val="40"/>
      <w:szCs w:val="40"/>
    </w:rPr>
  </w:style>
  <w:style w:type="character" w:styleId="151">
    <w:name w:val="Heading 2 Char"/>
    <w:basedOn w:val="757"/>
    <w:link w:val="140"/>
    <w:uiPriority w:val="9"/>
    <w:pPr>
      <w:pBdr/>
      <w:spacing/>
      <w:ind/>
    </w:pPr>
    <w:rPr>
      <w:rFonts w:ascii="Arial" w:hAnsi="Arial" w:eastAsia="Arial" w:cs="Arial"/>
      <w:color w:val="0f4761" w:themeColor="accent1" w:themeShade="BF"/>
      <w:sz w:val="32"/>
      <w:szCs w:val="32"/>
    </w:rPr>
  </w:style>
  <w:style w:type="character" w:styleId="152">
    <w:name w:val="Heading 3 Char"/>
    <w:basedOn w:val="757"/>
    <w:link w:val="141"/>
    <w:uiPriority w:val="9"/>
    <w:pPr>
      <w:pBdr/>
      <w:spacing/>
      <w:ind/>
    </w:pPr>
    <w:rPr>
      <w:rFonts w:ascii="Arial" w:hAnsi="Arial" w:eastAsia="Arial" w:cs="Arial"/>
      <w:color w:val="0f4761" w:themeColor="accent1" w:themeShade="BF"/>
      <w:sz w:val="28"/>
      <w:szCs w:val="28"/>
    </w:rPr>
  </w:style>
  <w:style w:type="character" w:styleId="153">
    <w:name w:val="Heading 4 Char"/>
    <w:basedOn w:val="757"/>
    <w:link w:val="142"/>
    <w:uiPriority w:val="9"/>
    <w:pPr>
      <w:pBdr/>
      <w:spacing/>
      <w:ind/>
    </w:pPr>
    <w:rPr>
      <w:rFonts w:ascii="Arial" w:hAnsi="Arial" w:eastAsia="Arial" w:cs="Arial"/>
      <w:i/>
      <w:iCs/>
      <w:color w:val="0f4761" w:themeColor="accent1" w:themeShade="BF"/>
    </w:rPr>
  </w:style>
  <w:style w:type="character" w:styleId="154">
    <w:name w:val="Heading 5 Char"/>
    <w:basedOn w:val="757"/>
    <w:link w:val="143"/>
    <w:uiPriority w:val="9"/>
    <w:pPr>
      <w:pBdr/>
      <w:spacing/>
      <w:ind/>
    </w:pPr>
    <w:rPr>
      <w:rFonts w:ascii="Arial" w:hAnsi="Arial" w:eastAsia="Arial" w:cs="Arial"/>
      <w:color w:val="0f4761" w:themeColor="accent1" w:themeShade="BF"/>
    </w:rPr>
  </w:style>
  <w:style w:type="character" w:styleId="155">
    <w:name w:val="Heading 6 Char"/>
    <w:basedOn w:val="757"/>
    <w:link w:val="144"/>
    <w:uiPriority w:val="9"/>
    <w:pPr>
      <w:pBdr/>
      <w:spacing/>
      <w:ind/>
    </w:pPr>
    <w:rPr>
      <w:rFonts w:ascii="Arial" w:hAnsi="Arial" w:eastAsia="Arial" w:cs="Arial"/>
      <w:i/>
      <w:iCs/>
      <w:color w:val="595959" w:themeColor="text1" w:themeTint="A6"/>
    </w:rPr>
  </w:style>
  <w:style w:type="character" w:styleId="156">
    <w:name w:val="Heading 7 Char"/>
    <w:basedOn w:val="757"/>
    <w:link w:val="145"/>
    <w:uiPriority w:val="9"/>
    <w:pPr>
      <w:pBdr/>
      <w:spacing/>
      <w:ind/>
    </w:pPr>
    <w:rPr>
      <w:rFonts w:ascii="Arial" w:hAnsi="Arial" w:eastAsia="Arial" w:cs="Arial"/>
      <w:color w:val="595959" w:themeColor="text1" w:themeTint="A6"/>
    </w:rPr>
  </w:style>
  <w:style w:type="character" w:styleId="157">
    <w:name w:val="Heading 8 Char"/>
    <w:basedOn w:val="757"/>
    <w:link w:val="146"/>
    <w:uiPriority w:val="9"/>
    <w:pPr>
      <w:pBdr/>
      <w:spacing/>
      <w:ind/>
    </w:pPr>
    <w:rPr>
      <w:rFonts w:ascii="Arial" w:hAnsi="Arial" w:eastAsia="Arial" w:cs="Arial"/>
      <w:i/>
      <w:iCs/>
      <w:color w:val="272727" w:themeColor="text1" w:themeTint="D8"/>
    </w:rPr>
  </w:style>
  <w:style w:type="character" w:styleId="158">
    <w:name w:val="Heading 9 Char"/>
    <w:basedOn w:val="757"/>
    <w:link w:val="147"/>
    <w:uiPriority w:val="9"/>
    <w:pPr>
      <w:pBdr/>
      <w:spacing/>
      <w:ind/>
    </w:pPr>
    <w:rPr>
      <w:rFonts w:ascii="Arial" w:hAnsi="Arial" w:eastAsia="Arial" w:cs="Arial"/>
      <w:i/>
      <w:iCs/>
      <w:color w:val="272727" w:themeColor="text1" w:themeTint="D8"/>
    </w:rPr>
  </w:style>
  <w:style w:type="character" w:styleId="160">
    <w:name w:val="Title Char"/>
    <w:basedOn w:val="757"/>
    <w:link w:val="761"/>
    <w:uiPriority w:val="10"/>
    <w:pPr>
      <w:pBdr/>
      <w:spacing/>
      <w:ind/>
    </w:pPr>
    <w:rPr>
      <w:rFonts w:ascii="Arial" w:hAnsi="Arial" w:eastAsia="Arial" w:cs="Arial"/>
      <w:spacing w:val="-10"/>
      <w:sz w:val="56"/>
      <w:szCs w:val="56"/>
    </w:rPr>
  </w:style>
  <w:style w:type="paragraph" w:styleId="161">
    <w:name w:val="Subtitle"/>
    <w:basedOn w:val="756"/>
    <w:next w:val="756"/>
    <w:link w:val="162"/>
    <w:uiPriority w:val="11"/>
    <w:qFormat/>
    <w:pPr>
      <w:numPr>
        <w:ilvl w:val="1"/>
      </w:numPr>
      <w:pBdr/>
      <w:spacing/>
      <w:ind/>
    </w:pPr>
    <w:rPr>
      <w:color w:val="595959" w:themeColor="text1" w:themeTint="A6"/>
      <w:spacing w:val="15"/>
      <w:sz w:val="28"/>
      <w:szCs w:val="28"/>
    </w:rPr>
  </w:style>
  <w:style w:type="character" w:styleId="162">
    <w:name w:val="Subtitle Char"/>
    <w:basedOn w:val="757"/>
    <w:link w:val="161"/>
    <w:uiPriority w:val="11"/>
    <w:pPr>
      <w:pBdr/>
      <w:spacing/>
      <w:ind/>
    </w:pPr>
    <w:rPr>
      <w:color w:val="595959" w:themeColor="text1" w:themeTint="A6"/>
      <w:spacing w:val="15"/>
      <w:sz w:val="28"/>
      <w:szCs w:val="28"/>
    </w:rPr>
  </w:style>
  <w:style w:type="paragraph" w:styleId="163">
    <w:name w:val="Quote"/>
    <w:basedOn w:val="756"/>
    <w:next w:val="756"/>
    <w:link w:val="164"/>
    <w:uiPriority w:val="29"/>
    <w:qFormat/>
    <w:pPr>
      <w:pBdr/>
      <w:spacing w:before="160"/>
      <w:ind/>
      <w:jc w:val="center"/>
    </w:pPr>
    <w:rPr>
      <w:i/>
      <w:iCs/>
      <w:color w:val="404040" w:themeColor="text1" w:themeTint="BF"/>
    </w:rPr>
  </w:style>
  <w:style w:type="character" w:styleId="164">
    <w:name w:val="Quote Char"/>
    <w:basedOn w:val="757"/>
    <w:link w:val="163"/>
    <w:uiPriority w:val="29"/>
    <w:pPr>
      <w:pBdr/>
      <w:spacing/>
      <w:ind/>
    </w:pPr>
    <w:rPr>
      <w:i/>
      <w:iCs/>
      <w:color w:val="404040" w:themeColor="text1" w:themeTint="BF"/>
    </w:rPr>
  </w:style>
  <w:style w:type="character" w:styleId="166">
    <w:name w:val="Intense Emphasis"/>
    <w:basedOn w:val="757"/>
    <w:uiPriority w:val="21"/>
    <w:qFormat/>
    <w:pPr>
      <w:pBdr/>
      <w:spacing/>
      <w:ind/>
    </w:pPr>
    <w:rPr>
      <w:i/>
      <w:iCs/>
      <w:color w:val="0f4761" w:themeColor="accent1" w:themeShade="BF"/>
    </w:rPr>
  </w:style>
  <w:style w:type="paragraph" w:styleId="167">
    <w:name w:val="Intense Quote"/>
    <w:basedOn w:val="756"/>
    <w:next w:val="756"/>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757"/>
    <w:link w:val="167"/>
    <w:uiPriority w:val="30"/>
    <w:pPr>
      <w:pBdr/>
      <w:spacing/>
      <w:ind/>
    </w:pPr>
    <w:rPr>
      <w:i/>
      <w:iCs/>
      <w:color w:val="0f4761" w:themeColor="accent1" w:themeShade="BF"/>
    </w:rPr>
  </w:style>
  <w:style w:type="character" w:styleId="169">
    <w:name w:val="Intense Reference"/>
    <w:basedOn w:val="757"/>
    <w:uiPriority w:val="32"/>
    <w:qFormat/>
    <w:pPr>
      <w:pBdr/>
      <w:spacing/>
      <w:ind/>
    </w:pPr>
    <w:rPr>
      <w:b/>
      <w:bCs/>
      <w:smallCaps/>
      <w:color w:val="0f4761" w:themeColor="accent1" w:themeShade="BF"/>
      <w:spacing w:val="5"/>
    </w:rPr>
  </w:style>
  <w:style w:type="paragraph" w:styleId="170">
    <w:name w:val="No Spacing"/>
    <w:basedOn w:val="756"/>
    <w:uiPriority w:val="1"/>
    <w:qFormat/>
    <w:pPr>
      <w:pBdr/>
      <w:spacing w:after="0" w:line="240" w:lineRule="auto"/>
      <w:ind/>
    </w:pPr>
  </w:style>
  <w:style w:type="character" w:styleId="171">
    <w:name w:val="Subtle Emphasis"/>
    <w:basedOn w:val="757"/>
    <w:uiPriority w:val="19"/>
    <w:qFormat/>
    <w:pPr>
      <w:pBdr/>
      <w:spacing/>
      <w:ind/>
    </w:pPr>
    <w:rPr>
      <w:i/>
      <w:iCs/>
      <w:color w:val="404040" w:themeColor="text1" w:themeTint="BF"/>
    </w:rPr>
  </w:style>
  <w:style w:type="character" w:styleId="172">
    <w:name w:val="Emphasis"/>
    <w:basedOn w:val="757"/>
    <w:uiPriority w:val="20"/>
    <w:qFormat/>
    <w:pPr>
      <w:pBdr/>
      <w:spacing/>
      <w:ind/>
    </w:pPr>
    <w:rPr>
      <w:i/>
      <w:iCs/>
    </w:rPr>
  </w:style>
  <w:style w:type="character" w:styleId="173">
    <w:name w:val="Strong"/>
    <w:basedOn w:val="757"/>
    <w:uiPriority w:val="22"/>
    <w:qFormat/>
    <w:pPr>
      <w:pBdr/>
      <w:spacing/>
      <w:ind/>
    </w:pPr>
    <w:rPr>
      <w:b/>
      <w:bCs/>
    </w:rPr>
  </w:style>
  <w:style w:type="character" w:styleId="174">
    <w:name w:val="Subtle Reference"/>
    <w:basedOn w:val="757"/>
    <w:uiPriority w:val="31"/>
    <w:qFormat/>
    <w:pPr>
      <w:pBdr/>
      <w:spacing/>
      <w:ind/>
    </w:pPr>
    <w:rPr>
      <w:smallCaps/>
      <w:color w:val="5a5a5a" w:themeColor="text1" w:themeTint="A5"/>
    </w:rPr>
  </w:style>
  <w:style w:type="character" w:styleId="175">
    <w:name w:val="Book Title"/>
    <w:basedOn w:val="757"/>
    <w:uiPriority w:val="33"/>
    <w:qFormat/>
    <w:pPr>
      <w:pBdr/>
      <w:spacing/>
      <w:ind/>
    </w:pPr>
    <w:rPr>
      <w:b/>
      <w:bCs/>
      <w:i/>
      <w:iCs/>
      <w:spacing w:val="5"/>
    </w:rPr>
  </w:style>
  <w:style w:type="character" w:styleId="177">
    <w:name w:val="Header Char"/>
    <w:basedOn w:val="757"/>
    <w:link w:val="764"/>
    <w:uiPriority w:val="99"/>
    <w:pPr>
      <w:pBdr/>
      <w:spacing/>
      <w:ind/>
    </w:pPr>
  </w:style>
  <w:style w:type="character" w:styleId="179">
    <w:name w:val="Footer Char"/>
    <w:basedOn w:val="757"/>
    <w:link w:val="766"/>
    <w:uiPriority w:val="99"/>
    <w:pPr>
      <w:pBdr/>
      <w:spacing/>
      <w:ind/>
    </w:pPr>
  </w:style>
  <w:style w:type="paragraph" w:styleId="180">
    <w:name w:val="Caption"/>
    <w:basedOn w:val="756"/>
    <w:next w:val="756"/>
    <w:uiPriority w:val="35"/>
    <w:unhideWhenUsed/>
    <w:qFormat/>
    <w:pPr>
      <w:pBdr/>
      <w:spacing w:after="200" w:line="240" w:lineRule="auto"/>
      <w:ind/>
    </w:pPr>
    <w:rPr>
      <w:i/>
      <w:iCs/>
      <w:color w:val="0e2841" w:themeColor="text2"/>
      <w:sz w:val="18"/>
      <w:szCs w:val="18"/>
    </w:rPr>
  </w:style>
  <w:style w:type="paragraph" w:styleId="181">
    <w:name w:val="footnote text"/>
    <w:basedOn w:val="756"/>
    <w:link w:val="182"/>
    <w:uiPriority w:val="99"/>
    <w:semiHidden/>
    <w:unhideWhenUsed/>
    <w:pPr>
      <w:pBdr/>
      <w:spacing w:after="0" w:line="240" w:lineRule="auto"/>
      <w:ind/>
    </w:pPr>
    <w:rPr>
      <w:sz w:val="20"/>
      <w:szCs w:val="20"/>
    </w:rPr>
  </w:style>
  <w:style w:type="character" w:styleId="182">
    <w:name w:val="Footnote Text Char"/>
    <w:basedOn w:val="757"/>
    <w:link w:val="181"/>
    <w:uiPriority w:val="99"/>
    <w:semiHidden/>
    <w:pPr>
      <w:pBdr/>
      <w:spacing/>
      <w:ind/>
    </w:pPr>
    <w:rPr>
      <w:sz w:val="20"/>
      <w:szCs w:val="20"/>
    </w:rPr>
  </w:style>
  <w:style w:type="character" w:styleId="183">
    <w:name w:val="footnote reference"/>
    <w:basedOn w:val="757"/>
    <w:uiPriority w:val="99"/>
    <w:semiHidden/>
    <w:unhideWhenUsed/>
    <w:pPr>
      <w:pBdr/>
      <w:spacing/>
      <w:ind/>
    </w:pPr>
    <w:rPr>
      <w:vertAlign w:val="superscript"/>
    </w:rPr>
  </w:style>
  <w:style w:type="paragraph" w:styleId="184">
    <w:name w:val="endnote text"/>
    <w:basedOn w:val="756"/>
    <w:link w:val="185"/>
    <w:uiPriority w:val="99"/>
    <w:semiHidden/>
    <w:unhideWhenUsed/>
    <w:pPr>
      <w:pBdr/>
      <w:spacing w:after="0" w:line="240" w:lineRule="auto"/>
      <w:ind/>
    </w:pPr>
    <w:rPr>
      <w:sz w:val="20"/>
      <w:szCs w:val="20"/>
    </w:rPr>
  </w:style>
  <w:style w:type="character" w:styleId="185">
    <w:name w:val="Endnote Text Char"/>
    <w:basedOn w:val="757"/>
    <w:link w:val="184"/>
    <w:uiPriority w:val="99"/>
    <w:semiHidden/>
    <w:pPr>
      <w:pBdr/>
      <w:spacing/>
      <w:ind/>
    </w:pPr>
    <w:rPr>
      <w:sz w:val="20"/>
      <w:szCs w:val="20"/>
    </w:rPr>
  </w:style>
  <w:style w:type="character" w:styleId="186">
    <w:name w:val="endnote reference"/>
    <w:basedOn w:val="757"/>
    <w:uiPriority w:val="99"/>
    <w:semiHidden/>
    <w:unhideWhenUsed/>
    <w:pPr>
      <w:pBdr/>
      <w:spacing/>
      <w:ind/>
    </w:pPr>
    <w:rPr>
      <w:vertAlign w:val="superscript"/>
    </w:rPr>
  </w:style>
  <w:style w:type="character" w:styleId="187">
    <w:name w:val="Hyperlink"/>
    <w:basedOn w:val="757"/>
    <w:uiPriority w:val="99"/>
    <w:unhideWhenUsed/>
    <w:pPr>
      <w:pBdr/>
      <w:spacing/>
      <w:ind/>
    </w:pPr>
    <w:rPr>
      <w:color w:val="0563c1" w:themeColor="hyperlink"/>
      <w:u w:val="single"/>
    </w:rPr>
  </w:style>
  <w:style w:type="character" w:styleId="188">
    <w:name w:val="FollowedHyperlink"/>
    <w:basedOn w:val="757"/>
    <w:uiPriority w:val="99"/>
    <w:semiHidden/>
    <w:unhideWhenUsed/>
    <w:pPr>
      <w:pBdr/>
      <w:spacing/>
      <w:ind/>
    </w:pPr>
    <w:rPr>
      <w:color w:val="954f72" w:themeColor="followedHyperlink"/>
      <w:u w:val="single"/>
    </w:rPr>
  </w:style>
  <w:style w:type="paragraph" w:styleId="189">
    <w:name w:val="toc 1"/>
    <w:basedOn w:val="756"/>
    <w:next w:val="756"/>
    <w:uiPriority w:val="39"/>
    <w:unhideWhenUsed/>
    <w:pPr>
      <w:pBdr/>
      <w:spacing w:after="100"/>
      <w:ind/>
    </w:pPr>
  </w:style>
  <w:style w:type="paragraph" w:styleId="190">
    <w:name w:val="toc 2"/>
    <w:basedOn w:val="756"/>
    <w:next w:val="756"/>
    <w:uiPriority w:val="39"/>
    <w:unhideWhenUsed/>
    <w:pPr>
      <w:pBdr/>
      <w:spacing w:after="100"/>
      <w:ind w:left="220"/>
    </w:pPr>
  </w:style>
  <w:style w:type="paragraph" w:styleId="191">
    <w:name w:val="toc 3"/>
    <w:basedOn w:val="756"/>
    <w:next w:val="756"/>
    <w:uiPriority w:val="39"/>
    <w:unhideWhenUsed/>
    <w:pPr>
      <w:pBdr/>
      <w:spacing w:after="100"/>
      <w:ind w:left="440"/>
    </w:pPr>
  </w:style>
  <w:style w:type="paragraph" w:styleId="192">
    <w:name w:val="toc 4"/>
    <w:basedOn w:val="756"/>
    <w:next w:val="756"/>
    <w:uiPriority w:val="39"/>
    <w:unhideWhenUsed/>
    <w:pPr>
      <w:pBdr/>
      <w:spacing w:after="100"/>
      <w:ind w:left="660"/>
    </w:pPr>
  </w:style>
  <w:style w:type="paragraph" w:styleId="193">
    <w:name w:val="toc 5"/>
    <w:basedOn w:val="756"/>
    <w:next w:val="756"/>
    <w:uiPriority w:val="39"/>
    <w:unhideWhenUsed/>
    <w:pPr>
      <w:pBdr/>
      <w:spacing w:after="100"/>
      <w:ind w:left="880"/>
    </w:pPr>
  </w:style>
  <w:style w:type="paragraph" w:styleId="194">
    <w:name w:val="toc 6"/>
    <w:basedOn w:val="756"/>
    <w:next w:val="756"/>
    <w:uiPriority w:val="39"/>
    <w:unhideWhenUsed/>
    <w:pPr>
      <w:pBdr/>
      <w:spacing w:after="100"/>
      <w:ind w:left="1100"/>
    </w:pPr>
  </w:style>
  <w:style w:type="paragraph" w:styleId="195">
    <w:name w:val="toc 7"/>
    <w:basedOn w:val="756"/>
    <w:next w:val="756"/>
    <w:uiPriority w:val="39"/>
    <w:unhideWhenUsed/>
    <w:pPr>
      <w:pBdr/>
      <w:spacing w:after="100"/>
      <w:ind w:left="1320"/>
    </w:pPr>
  </w:style>
  <w:style w:type="paragraph" w:styleId="196">
    <w:name w:val="toc 8"/>
    <w:basedOn w:val="756"/>
    <w:next w:val="756"/>
    <w:uiPriority w:val="39"/>
    <w:unhideWhenUsed/>
    <w:pPr>
      <w:pBdr/>
      <w:spacing w:after="100"/>
      <w:ind w:left="1540"/>
    </w:pPr>
  </w:style>
  <w:style w:type="paragraph" w:styleId="197">
    <w:name w:val="toc 9"/>
    <w:basedOn w:val="756"/>
    <w:next w:val="756"/>
    <w:uiPriority w:val="39"/>
    <w:unhideWhenUsed/>
    <w:pPr>
      <w:pBdr/>
      <w:spacing w:after="100"/>
      <w:ind w:left="1760"/>
    </w:pPr>
  </w:style>
  <w:style w:type="character" w:styleId="198">
    <w:name w:val="Placeholder Text"/>
    <w:basedOn w:val="757"/>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756"/>
    <w:next w:val="756"/>
    <w:uiPriority w:val="99"/>
    <w:unhideWhenUsed/>
    <w:pPr>
      <w:pBdr/>
      <w:spacing w:after="0" w:afterAutospacing="0"/>
      <w:ind/>
    </w:pPr>
  </w:style>
  <w:style w:type="paragraph" w:styleId="756" w:default="1">
    <w:name w:val="Normal"/>
    <w:uiPriority w:val="1"/>
    <w:qFormat/>
    <w:pPr>
      <w:pBdr/>
      <w:spacing/>
      <w:ind/>
    </w:pPr>
  </w:style>
  <w:style w:type="character" w:styleId="757" w:default="1">
    <w:name w:val="Default Paragraph Font"/>
    <w:uiPriority w:val="1"/>
    <w:semiHidden/>
    <w:unhideWhenUsed/>
    <w:pPr>
      <w:pBdr/>
      <w:spacing/>
      <w:ind/>
    </w:pPr>
  </w:style>
  <w:style w:type="table" w:styleId="758"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59" w:default="1">
    <w:name w:val="No List"/>
    <w:uiPriority w:val="99"/>
    <w:semiHidden/>
    <w:unhideWhenUsed/>
    <w:pPr>
      <w:pBdr/>
      <w:spacing/>
      <w:ind/>
    </w:pPr>
  </w:style>
  <w:style w:type="table" w:styleId="760" w:customStyle="1">
    <w:name w:val="Table Normal"/>
    <w:uiPriority w:val="2"/>
    <w:semiHidden/>
    <w:unhideWhenUsed/>
    <w:qFormat/>
    <w:pPr>
      <w:pBdr/>
      <w:spacing/>
      <w:ind/>
    </w:pPr>
    <w:tblPr>
      <w:tblInd w:w="0" w:type="dxa"/>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761">
    <w:name w:val="Title"/>
    <w:basedOn w:val="756"/>
    <w:uiPriority w:val="1"/>
    <w:qFormat/>
    <w:pPr>
      <w:pBdr/>
      <w:spacing w:before="4"/>
      <w:ind/>
    </w:pPr>
    <w:rPr>
      <w:rFonts w:ascii="Times New Roman" w:hAnsi="Times New Roman" w:eastAsia="Times New Roman" w:cs="Times New Roman"/>
    </w:rPr>
  </w:style>
  <w:style w:type="paragraph" w:styleId="762">
    <w:name w:val="List Paragraph"/>
    <w:basedOn w:val="756"/>
    <w:uiPriority w:val="1"/>
    <w:qFormat/>
    <w:pPr>
      <w:pBdr/>
      <w:spacing/>
      <w:ind/>
    </w:pPr>
  </w:style>
  <w:style w:type="paragraph" w:styleId="763" w:customStyle="1">
    <w:name w:val="Table Paragraph"/>
    <w:basedOn w:val="756"/>
    <w:uiPriority w:val="1"/>
    <w:qFormat/>
    <w:pPr>
      <w:pBdr/>
      <w:spacing/>
      <w:ind/>
    </w:pPr>
  </w:style>
  <w:style w:type="paragraph" w:styleId="764">
    <w:name w:val="Header"/>
    <w:basedOn w:val="756"/>
    <w:link w:val="765"/>
    <w:uiPriority w:val="99"/>
    <w:unhideWhenUsed/>
    <w:pPr>
      <w:pBdr/>
      <w:tabs>
        <w:tab w:val="center" w:leader="none" w:pos="4252"/>
        <w:tab w:val="right" w:leader="none" w:pos="8504"/>
      </w:tabs>
      <w:spacing/>
      <w:ind/>
    </w:pPr>
  </w:style>
  <w:style w:type="character" w:styleId="765" w:customStyle="1">
    <w:name w:val="Encabezado Car"/>
    <w:basedOn w:val="757"/>
    <w:link w:val="764"/>
    <w:uiPriority w:val="99"/>
    <w:pPr>
      <w:pBdr/>
      <w:spacing/>
      <w:ind/>
    </w:pPr>
  </w:style>
  <w:style w:type="paragraph" w:styleId="766">
    <w:name w:val="Footer"/>
    <w:basedOn w:val="756"/>
    <w:link w:val="767"/>
    <w:uiPriority w:val="99"/>
    <w:unhideWhenUsed/>
    <w:pPr>
      <w:pBdr/>
      <w:tabs>
        <w:tab w:val="center" w:leader="none" w:pos="4252"/>
        <w:tab w:val="right" w:leader="none" w:pos="8504"/>
      </w:tabs>
      <w:spacing/>
      <w:ind/>
    </w:pPr>
  </w:style>
  <w:style w:type="character" w:styleId="767" w:customStyle="1">
    <w:name w:val="Pie de página Car"/>
    <w:basedOn w:val="757"/>
    <w:link w:val="766"/>
    <w:uiPriority w:val="99"/>
    <w:pPr>
      <w:pBdr/>
      <w:spacing/>
      <w:ind/>
    </w:pPr>
  </w:style>
  <w:style w:type="paragraph" w:styleId="768">
    <w:name w:val="Balloon Text"/>
    <w:basedOn w:val="756"/>
    <w:link w:val="769"/>
    <w:uiPriority w:val="99"/>
    <w:semiHidden/>
    <w:unhideWhenUsed/>
    <w:pPr>
      <w:pBdr/>
      <w:spacing/>
      <w:ind/>
    </w:pPr>
    <w:rPr>
      <w:rFonts w:ascii="Tahoma" w:hAnsi="Tahoma" w:cs="Tahoma"/>
      <w:sz w:val="16"/>
      <w:szCs w:val="16"/>
    </w:rPr>
  </w:style>
  <w:style w:type="character" w:styleId="769" w:customStyle="1">
    <w:name w:val="Texto de globo Car"/>
    <w:basedOn w:val="757"/>
    <w:link w:val="768"/>
    <w:uiPriority w:val="99"/>
    <w:semiHidden/>
    <w:pPr>
      <w:pBdr/>
      <w:spacing/>
      <w:ind/>
    </w:pPr>
    <w:rPr>
      <w:rFonts w:ascii="Tahoma" w:hAnsi="Tahoma" w:cs="Tahoma"/>
      <w:sz w:val="16"/>
      <w:szCs w:val="16"/>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footer" Target="footer1.xml" /><Relationship Id="rId10" Type="http://schemas.openxmlformats.org/officeDocument/2006/relationships/image" Target="media/image3.jpg"/><Relationship Id="rId11" Type="http://schemas.openxmlformats.org/officeDocument/2006/relationships/image" Target="media/image4.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jp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Application>ONLYOFFICE/9.4.0.129</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hoja mebretada silvio.cdr</dc:title>
  <dc:creator>RUIZ, Carolina</dc:creator>
  <cp:revision>3</cp:revision>
  <dcterms:created xsi:type="dcterms:W3CDTF">2026-02-19T16:41:00Z</dcterms:created>
  <dcterms:modified xsi:type="dcterms:W3CDTF">2026-06-02T14:55:18Z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2026-02-19T00:00:00Z</vt:filetime>
  </property>
  <property fmtid="{D5CDD505-2E9C-101B-9397-08002B2CF9AE}" pid="3" name="LastSaved">
    <vt:filetime>2026-02-19T00:00:00Z</vt:filetime>
  </property>
  <property fmtid="{D5CDD505-2E9C-101B-9397-08002B2CF9AE}" pid="4" name="Producer">
    <vt:lpwstr>Microsoft: Print To PDF</vt:lpwstr>
  </property>
</Properties>
</file>