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54" w:rsidRDefault="00EB0055">
      <w:pPr>
        <w:pStyle w:val="Ttulo2"/>
        <w:spacing w:line="276" w:lineRule="auto"/>
        <w:jc w:val="both"/>
        <w:rPr>
          <w:rFonts w:ascii="Arial" w:eastAsia="Arial" w:hAnsi="Arial" w:cs="Arial"/>
          <w:sz w:val="22"/>
          <w:szCs w:val="22"/>
        </w:rPr>
      </w:pPr>
      <w:bookmarkStart w:id="0" w:name="_GoBack"/>
      <w:bookmarkEnd w:id="0"/>
      <w:r>
        <w:rPr>
          <w:rFonts w:eastAsia="Arial" w:cs="Times New Roman"/>
          <w:color w:val="000000"/>
          <w:sz w:val="24"/>
          <w:szCs w:val="24"/>
        </w:rPr>
        <w:t>MEMORANDUM</w:t>
      </w:r>
    </w:p>
    <w:p w:rsidR="00731F54" w:rsidRDefault="00731F54">
      <w:pPr>
        <w:pStyle w:val="LO-normal"/>
        <w:spacing w:line="276" w:lineRule="auto"/>
        <w:jc w:val="both"/>
      </w:pPr>
    </w:p>
    <w:p w:rsidR="00731F54" w:rsidRDefault="00EB0055">
      <w:pPr>
        <w:pStyle w:val="LO-normal"/>
        <w:spacing w:line="276" w:lineRule="auto"/>
        <w:jc w:val="both"/>
      </w:pPr>
      <w:r>
        <w:rPr>
          <w:rFonts w:ascii="Arial" w:eastAsia="Arial" w:hAnsi="Arial" w:cs="Arial"/>
          <w:b/>
          <w:sz w:val="22"/>
          <w:szCs w:val="22"/>
        </w:rPr>
        <w:t>FECHA:</w:t>
      </w:r>
      <w:r>
        <w:rPr>
          <w:rFonts w:ascii="Arial" w:eastAsia="Arial" w:hAnsi="Arial" w:cs="Arial"/>
          <w:sz w:val="22"/>
          <w:szCs w:val="22"/>
        </w:rPr>
        <w:t xml:space="preserve"> 03 de noviembre de 2022</w:t>
      </w:r>
    </w:p>
    <w:p w:rsidR="00731F54" w:rsidRDefault="00EB0055">
      <w:pPr>
        <w:pStyle w:val="LO-normal"/>
        <w:spacing w:line="276" w:lineRule="auto"/>
        <w:jc w:val="both"/>
      </w:pPr>
      <w:r>
        <w:rPr>
          <w:rFonts w:ascii="Arial" w:eastAsia="Arial" w:hAnsi="Arial" w:cs="Arial"/>
          <w:b/>
          <w:sz w:val="22"/>
          <w:szCs w:val="22"/>
        </w:rPr>
        <w:t>DE:</w:t>
      </w:r>
      <w:r>
        <w:rPr>
          <w:rFonts w:ascii="Arial" w:eastAsia="Arial" w:hAnsi="Arial" w:cs="Arial"/>
          <w:sz w:val="22"/>
          <w:szCs w:val="22"/>
        </w:rPr>
        <w:t xml:space="preserve"> Dres. Mariano Pardo, Carla Rocha, Francisca Perera, Josefina Racedo, Ramón Enrique y Florencia Budeguer</w:t>
      </w:r>
    </w:p>
    <w:p w:rsidR="00731F54" w:rsidRDefault="00EB0055">
      <w:pPr>
        <w:pStyle w:val="LO-normal"/>
        <w:spacing w:line="276" w:lineRule="auto"/>
        <w:jc w:val="both"/>
      </w:pPr>
      <w:r>
        <w:rPr>
          <w:rFonts w:ascii="Arial" w:eastAsia="Arial" w:hAnsi="Arial" w:cs="Arial"/>
          <w:b/>
          <w:sz w:val="22"/>
          <w:szCs w:val="22"/>
        </w:rPr>
        <w:t>PARA:</w:t>
      </w:r>
      <w:r>
        <w:rPr>
          <w:rFonts w:ascii="Arial" w:eastAsia="Arial" w:hAnsi="Arial" w:cs="Arial"/>
          <w:sz w:val="22"/>
          <w:szCs w:val="22"/>
        </w:rPr>
        <w:t xml:space="preserve"> Dr. Hernán Salas - DATA</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right"/>
        <w:rPr>
          <w:sz w:val="20"/>
          <w:szCs w:val="20"/>
        </w:rPr>
      </w:pPr>
      <w:r>
        <w:rPr>
          <w:rFonts w:ascii="Arial" w:eastAsia="Arial" w:hAnsi="Arial" w:cs="Arial"/>
          <w:b/>
          <w:sz w:val="20"/>
          <w:szCs w:val="20"/>
        </w:rPr>
        <w:t>ASUNTO:</w:t>
      </w:r>
      <w:r>
        <w:rPr>
          <w:rFonts w:ascii="Arial" w:eastAsia="Arial" w:hAnsi="Arial" w:cs="Arial"/>
          <w:sz w:val="20"/>
          <w:szCs w:val="20"/>
        </w:rPr>
        <w:t xml:space="preserve"> Informe Asistencia al  </w:t>
      </w:r>
      <w:r>
        <w:rPr>
          <w:rFonts w:ascii="Arial" w:eastAsia="Arial" w:hAnsi="Arial" w:cs="Arial"/>
          <w:color w:val="000000"/>
          <w:sz w:val="20"/>
          <w:szCs w:val="20"/>
        </w:rPr>
        <w:t>L Congreso Argentino de Genética y II Jornadas Regionales SAG-NEA</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both"/>
      </w:pPr>
      <w:r>
        <w:rPr>
          <w:rFonts w:ascii="Arial" w:eastAsia="Arial" w:hAnsi="Arial" w:cs="Arial"/>
          <w:sz w:val="22"/>
          <w:szCs w:val="22"/>
        </w:rPr>
        <w:tab/>
        <w:t xml:space="preserve">Tenemos el agrado de dirigirnos a usted, y por su intermedio a quien corresponda, a fin de elevar el informe correspondiente a la asistencia al </w:t>
      </w:r>
      <w:r>
        <w:rPr>
          <w:rFonts w:ascii="Arial" w:eastAsia="Arial" w:hAnsi="Arial" w:cs="Arial"/>
          <w:color w:val="000000"/>
          <w:sz w:val="22"/>
          <w:szCs w:val="22"/>
        </w:rPr>
        <w:t xml:space="preserve">L Congreso Argentino de Genética y II Jornadas Regionales SAG-NEA, organizado por la Sociedad Argentina de Genética (SAG), que se llevó a cabo entre los días 02 y 05 de octubre del corriente año en la Facultad de Ciencias Exactas y Naturales y Agrimensura de la Universidad Nacional del Nordeste, en la provincia de Corrientes. </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both"/>
      </w:pPr>
      <w:r>
        <w:rPr>
          <w:rFonts w:ascii="Arial" w:eastAsia="Arial" w:hAnsi="Arial" w:cs="Arial"/>
          <w:color w:val="000000"/>
          <w:sz w:val="22"/>
          <w:szCs w:val="22"/>
        </w:rPr>
        <w:tab/>
        <w:t>El programa incluyó conferencias plenarias, simposios, presentación de trabajos en forma de póster, foros de discusión y participación del “espacio joven”.</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both"/>
      </w:pPr>
      <w:r>
        <w:rPr>
          <w:rFonts w:ascii="Arial" w:eastAsia="Arial" w:hAnsi="Arial" w:cs="Arial"/>
          <w:color w:val="000000"/>
          <w:sz w:val="22"/>
          <w:szCs w:val="22"/>
        </w:rPr>
        <w:tab/>
        <w:t>Entre las conferencias plenarias se destacó, en nuestra área de estudio, la dictada por el Dr. Pedro Rimieri (Ex Investigador INTA, Asesor Científico SAG) titulada “Gregor Johan Mendel: imaginación y visión para sintetizar conocimiento e información”. El Dr. Rimieri destacó la aplicación de los conceptos básicos (Mendelianos) de la genética en el mejoramiento de cultivos. Se logró compartir experiencias y comentarios con el Dr. Rimieri.</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both"/>
      </w:pPr>
      <w:r>
        <w:rPr>
          <w:rFonts w:ascii="Arial" w:eastAsia="Arial" w:hAnsi="Arial" w:cs="Arial"/>
          <w:color w:val="000000"/>
          <w:sz w:val="22"/>
          <w:szCs w:val="22"/>
        </w:rPr>
        <w:tab/>
        <w:t>En el caso de los simposios pudimos asistir a varios relacionados al área agro-tecnológica, tales como:</w:t>
      </w:r>
    </w:p>
    <w:p w:rsidR="00731F54" w:rsidRDefault="00EB0055">
      <w:pPr>
        <w:pStyle w:val="LO-normal"/>
        <w:numPr>
          <w:ilvl w:val="0"/>
          <w:numId w:val="1"/>
        </w:numPr>
        <w:spacing w:line="276" w:lineRule="auto"/>
        <w:jc w:val="both"/>
      </w:pPr>
      <w:r>
        <w:rPr>
          <w:rFonts w:ascii="Arial" w:eastAsia="Arial" w:hAnsi="Arial" w:cs="Arial"/>
          <w:color w:val="000000"/>
          <w:sz w:val="22"/>
          <w:szCs w:val="22"/>
        </w:rPr>
        <w:t>“Diversidad genética y conservación de especies de la flora del Dominio Chaqueño”,</w:t>
      </w:r>
    </w:p>
    <w:p w:rsidR="00731F54" w:rsidRDefault="00EB0055">
      <w:pPr>
        <w:pStyle w:val="LO-normal"/>
        <w:numPr>
          <w:ilvl w:val="0"/>
          <w:numId w:val="1"/>
        </w:numPr>
        <w:spacing w:line="276" w:lineRule="auto"/>
        <w:jc w:val="both"/>
      </w:pPr>
      <w:r>
        <w:rPr>
          <w:rFonts w:ascii="Arial" w:eastAsia="Arial" w:hAnsi="Arial" w:cs="Arial"/>
          <w:color w:val="000000"/>
          <w:sz w:val="22"/>
          <w:szCs w:val="22"/>
        </w:rPr>
        <w:t>“Incorporación de herramientas tecnológicas en el mejoramiento de especies no tradicionales”.</w:t>
      </w:r>
    </w:p>
    <w:p w:rsidR="00731F54" w:rsidRDefault="00EB0055">
      <w:pPr>
        <w:pStyle w:val="LO-normal"/>
        <w:numPr>
          <w:ilvl w:val="0"/>
          <w:numId w:val="1"/>
        </w:numPr>
        <w:spacing w:line="276" w:lineRule="auto"/>
        <w:jc w:val="both"/>
      </w:pPr>
      <w:r>
        <w:rPr>
          <w:rFonts w:ascii="Arial" w:eastAsia="Arial" w:hAnsi="Arial" w:cs="Arial"/>
          <w:color w:val="000000"/>
          <w:sz w:val="22"/>
          <w:szCs w:val="22"/>
        </w:rPr>
        <w:t>“Prospección y mejoramiento de frutales exóticos y nativos de importancia para el norte argentino”.</w:t>
      </w:r>
    </w:p>
    <w:p w:rsidR="00731F54" w:rsidRDefault="00EB0055">
      <w:pPr>
        <w:pStyle w:val="LO-normal"/>
        <w:numPr>
          <w:ilvl w:val="0"/>
          <w:numId w:val="1"/>
        </w:numPr>
        <w:spacing w:line="276" w:lineRule="auto"/>
        <w:jc w:val="both"/>
      </w:pPr>
      <w:r>
        <w:rPr>
          <w:rFonts w:ascii="Arial" w:eastAsia="Arial" w:hAnsi="Arial" w:cs="Arial"/>
          <w:color w:val="000000"/>
          <w:sz w:val="22"/>
          <w:szCs w:val="22"/>
        </w:rPr>
        <w:t>“Presente y futuro del mejoramiento genético de cebada en Argentina”.</w:t>
      </w:r>
    </w:p>
    <w:p w:rsidR="00731F54" w:rsidRDefault="00EB0055">
      <w:pPr>
        <w:pStyle w:val="LO-normal"/>
        <w:numPr>
          <w:ilvl w:val="0"/>
          <w:numId w:val="1"/>
        </w:numPr>
        <w:spacing w:line="276" w:lineRule="auto"/>
        <w:jc w:val="both"/>
      </w:pPr>
      <w:r>
        <w:rPr>
          <w:rFonts w:ascii="Arial" w:eastAsia="Arial" w:hAnsi="Arial" w:cs="Arial"/>
          <w:color w:val="000000"/>
          <w:sz w:val="22"/>
          <w:szCs w:val="22"/>
        </w:rPr>
        <w:t>“Filogeografía y estructura genética aplicada a la conservación de especies de la fauna Chaco-Pampeana”.</w:t>
      </w:r>
    </w:p>
    <w:p w:rsidR="00731F54" w:rsidRDefault="00731F54">
      <w:pPr>
        <w:pStyle w:val="LO-normal"/>
        <w:spacing w:line="276" w:lineRule="auto"/>
        <w:ind w:left="720"/>
        <w:jc w:val="both"/>
        <w:rPr>
          <w:rFonts w:ascii="Arial" w:eastAsia="Arial" w:hAnsi="Arial" w:cs="Arial"/>
          <w:sz w:val="22"/>
          <w:szCs w:val="22"/>
        </w:rPr>
      </w:pPr>
    </w:p>
    <w:p w:rsidR="00731F54" w:rsidRDefault="00EB0055">
      <w:pPr>
        <w:pStyle w:val="LO-normal"/>
        <w:spacing w:line="276" w:lineRule="auto"/>
        <w:jc w:val="both"/>
      </w:pPr>
      <w:r>
        <w:rPr>
          <w:rFonts w:ascii="Arial" w:eastAsia="Arial" w:hAnsi="Arial" w:cs="Arial"/>
          <w:color w:val="000000"/>
          <w:sz w:val="22"/>
          <w:szCs w:val="22"/>
        </w:rPr>
        <w:tab/>
        <w:t>Además, se debe destacar la coordinación de un Simposio que estuvo a cargo de la Dra. María Francisca Perera (ITANOA, EEAOC-CONICET), titulado “Herramientas moleculares para asistir al mejoramiento genético vegetal”, en el cual participamos algunos integrantes de la comisión, e investigadores de otras instituciones, a través de las siguientes exposiciones:</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numPr>
          <w:ilvl w:val="0"/>
          <w:numId w:val="2"/>
        </w:numPr>
        <w:spacing w:line="276" w:lineRule="auto"/>
        <w:jc w:val="both"/>
      </w:pPr>
      <w:r>
        <w:rPr>
          <w:rFonts w:ascii="Arial" w:eastAsia="Arial" w:hAnsi="Arial" w:cs="Arial"/>
          <w:sz w:val="22"/>
          <w:szCs w:val="22"/>
        </w:rPr>
        <w:lastRenderedPageBreak/>
        <w:t>“Implementación de herramientas biotecnológicas en el mejoramiento genético de la caña de azúcar”.</w:t>
      </w:r>
      <w:r>
        <w:rPr>
          <w:rFonts w:ascii="Arial" w:eastAsia="Arial" w:hAnsi="Arial" w:cs="Arial"/>
          <w:color w:val="000000"/>
          <w:sz w:val="22"/>
          <w:szCs w:val="22"/>
        </w:rPr>
        <w:t xml:space="preserve"> Dra. Josefina Racedo (ITANOA, EEAOC-CONICET). </w:t>
      </w:r>
    </w:p>
    <w:p w:rsidR="00731F54" w:rsidRDefault="00EB0055">
      <w:pPr>
        <w:pStyle w:val="LO-normal"/>
        <w:numPr>
          <w:ilvl w:val="0"/>
          <w:numId w:val="2"/>
        </w:numPr>
        <w:spacing w:line="276" w:lineRule="auto"/>
        <w:jc w:val="both"/>
      </w:pPr>
      <w:r>
        <w:rPr>
          <w:rFonts w:ascii="Arial" w:eastAsia="Arial" w:hAnsi="Arial" w:cs="Arial"/>
          <w:color w:val="000000"/>
          <w:sz w:val="22"/>
          <w:szCs w:val="22"/>
        </w:rPr>
        <w:t xml:space="preserve">“Utilización de marcadores moleculares para el desarrollo de nuevas variedades de soja”. Dr. Esteban Mariano Pardo (EEAOC). </w:t>
      </w:r>
    </w:p>
    <w:p w:rsidR="00731F54" w:rsidRDefault="00EB0055">
      <w:pPr>
        <w:pStyle w:val="LO-normal"/>
        <w:numPr>
          <w:ilvl w:val="0"/>
          <w:numId w:val="2"/>
        </w:numPr>
        <w:spacing w:line="276" w:lineRule="auto"/>
        <w:jc w:val="both"/>
      </w:pPr>
      <w:r>
        <w:rPr>
          <w:rFonts w:ascii="Arial" w:eastAsia="Arial" w:hAnsi="Arial" w:cs="Arial"/>
          <w:color w:val="000000"/>
          <w:sz w:val="22"/>
          <w:szCs w:val="22"/>
        </w:rPr>
        <w:t>“Aplicación de modelos de selección genómica en los cultivos de caña de azúcar y maíz”. Dr. Ezequiel Rossi (Mejoramiento Genético, Facultad de Agronomía y Veterinaria, UNRC).</w:t>
      </w:r>
    </w:p>
    <w:p w:rsidR="00731F54" w:rsidRDefault="00731F54">
      <w:pPr>
        <w:pStyle w:val="LO-normal"/>
        <w:spacing w:line="276" w:lineRule="auto"/>
        <w:ind w:left="1501"/>
        <w:jc w:val="both"/>
      </w:pPr>
    </w:p>
    <w:p w:rsidR="00731F54" w:rsidRDefault="00EB0055">
      <w:pPr>
        <w:pStyle w:val="LO-normal"/>
        <w:spacing w:line="276" w:lineRule="auto"/>
        <w:jc w:val="center"/>
        <w:rPr>
          <w:rFonts w:ascii="Arial" w:eastAsia="Arial" w:hAnsi="Arial" w:cs="Arial"/>
          <w:sz w:val="22"/>
          <w:szCs w:val="22"/>
        </w:rPr>
      </w:pPr>
      <w:r>
        <w:rPr>
          <w:noProof/>
          <w:lang w:val="es-ES" w:eastAsia="es-ES" w:bidi="ar-SA"/>
        </w:rPr>
        <w:drawing>
          <wp:inline distT="0" distB="0" distL="0" distR="0">
            <wp:extent cx="4467225" cy="1888490"/>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7"/>
                    <a:srcRect t="43839"/>
                    <a:stretch>
                      <a:fillRect/>
                    </a:stretch>
                  </pic:blipFill>
                  <pic:spPr bwMode="auto">
                    <a:xfrm>
                      <a:off x="0" y="0"/>
                      <a:ext cx="4467225" cy="1888490"/>
                    </a:xfrm>
                    <a:prstGeom prst="rect">
                      <a:avLst/>
                    </a:prstGeom>
                  </pic:spPr>
                </pic:pic>
              </a:graphicData>
            </a:graphic>
          </wp:inline>
        </w:drawing>
      </w:r>
    </w:p>
    <w:p w:rsidR="00731F54" w:rsidRDefault="00EB0055">
      <w:pPr>
        <w:pStyle w:val="LO-normal"/>
        <w:spacing w:line="276" w:lineRule="auto"/>
        <w:jc w:val="both"/>
      </w:pPr>
      <w:r>
        <w:rPr>
          <w:rFonts w:ascii="Arial" w:eastAsia="Arial" w:hAnsi="Arial" w:cs="Arial"/>
          <w:color w:val="000000"/>
          <w:sz w:val="22"/>
          <w:szCs w:val="22"/>
        </w:rPr>
        <w:tab/>
      </w:r>
    </w:p>
    <w:p w:rsidR="00731F54" w:rsidRDefault="00EB0055">
      <w:pPr>
        <w:pStyle w:val="LO-normal"/>
        <w:spacing w:line="276" w:lineRule="auto"/>
        <w:jc w:val="both"/>
      </w:pPr>
      <w:r>
        <w:rPr>
          <w:rFonts w:ascii="Arial" w:eastAsia="Arial" w:hAnsi="Arial" w:cs="Arial"/>
          <w:color w:val="000000"/>
          <w:sz w:val="22"/>
          <w:szCs w:val="22"/>
        </w:rPr>
        <w:tab/>
        <w:t>En el “ESPACIO JOVEN” tuvo la oportunidad de participar la Dra. Florencia Budeguer y exponer los resultados más relevantes de su trabajo de Tesis Doctoral. En el mismo participaron cuatro investigadoras que recibieron aportes y respondieron preguntas del público en general, como se detalla a continuación:</w:t>
      </w:r>
    </w:p>
    <w:p w:rsidR="00731F54" w:rsidRDefault="00EB0055">
      <w:pPr>
        <w:pStyle w:val="LO-normal"/>
        <w:numPr>
          <w:ilvl w:val="0"/>
          <w:numId w:val="3"/>
        </w:numPr>
        <w:spacing w:line="276" w:lineRule="auto"/>
        <w:jc w:val="both"/>
      </w:pPr>
      <w:r>
        <w:rPr>
          <w:rFonts w:ascii="Arial" w:eastAsia="Arial" w:hAnsi="Arial" w:cs="Arial"/>
          <w:sz w:val="22"/>
          <w:szCs w:val="22"/>
        </w:rPr>
        <w:t xml:space="preserve">Natalia Cristina Aguirre (Facultad de Ciencias Exactas y Naturales, Universidad de Buenos Aires). “Desarrollo y aplicación de metodologías genómicas para el mejoramiento molecular de </w:t>
      </w:r>
      <w:r>
        <w:rPr>
          <w:rFonts w:ascii="Arial" w:eastAsia="Arial" w:hAnsi="Arial" w:cs="Arial"/>
          <w:i/>
          <w:iCs/>
          <w:sz w:val="22"/>
          <w:szCs w:val="22"/>
        </w:rPr>
        <w:t>Eucalyptusdunnii</w:t>
      </w:r>
      <w:r>
        <w:rPr>
          <w:rFonts w:ascii="Arial" w:eastAsia="Arial" w:hAnsi="Arial" w:cs="Arial"/>
          <w:sz w:val="22"/>
          <w:szCs w:val="22"/>
        </w:rPr>
        <w:t xml:space="preserve"> mediante Mapeo por Asociación y Selección Genómica”.</w:t>
      </w:r>
    </w:p>
    <w:p w:rsidR="00731F54" w:rsidRDefault="00EB0055">
      <w:pPr>
        <w:pStyle w:val="LO-normal"/>
        <w:numPr>
          <w:ilvl w:val="0"/>
          <w:numId w:val="3"/>
        </w:numPr>
        <w:spacing w:line="276" w:lineRule="auto"/>
        <w:jc w:val="both"/>
      </w:pPr>
      <w:r>
        <w:rPr>
          <w:rFonts w:ascii="Arial" w:eastAsia="Arial" w:hAnsi="Arial" w:cs="Arial"/>
          <w:sz w:val="22"/>
          <w:szCs w:val="22"/>
        </w:rPr>
        <w:t xml:space="preserve">Fabiana Eckers (Universidad Nacional de Córdoba) “Sistemas genéticos de diferentes especies multiploides del género </w:t>
      </w:r>
      <w:r>
        <w:rPr>
          <w:rFonts w:ascii="Arial" w:eastAsia="Arial" w:hAnsi="Arial" w:cs="Arial"/>
          <w:i/>
          <w:iCs/>
          <w:sz w:val="22"/>
          <w:szCs w:val="22"/>
        </w:rPr>
        <w:t>Paspalum</w:t>
      </w:r>
      <w:r>
        <w:rPr>
          <w:rFonts w:ascii="Arial" w:eastAsia="Arial" w:hAnsi="Arial" w:cs="Arial"/>
          <w:sz w:val="22"/>
          <w:szCs w:val="22"/>
        </w:rPr>
        <w:t xml:space="preserve"> (Poaceae)”.</w:t>
      </w:r>
    </w:p>
    <w:p w:rsidR="00731F54" w:rsidRDefault="00EB0055">
      <w:pPr>
        <w:pStyle w:val="LO-normal"/>
        <w:numPr>
          <w:ilvl w:val="0"/>
          <w:numId w:val="3"/>
        </w:numPr>
        <w:spacing w:line="276" w:lineRule="auto"/>
        <w:jc w:val="both"/>
      </w:pPr>
      <w:r>
        <w:rPr>
          <w:rFonts w:ascii="Arial" w:eastAsia="Arial" w:hAnsi="Arial" w:cs="Arial"/>
          <w:sz w:val="22"/>
          <w:szCs w:val="22"/>
        </w:rPr>
        <w:t xml:space="preserve">Anna VerenaReutemann (Universidad Nacional de Córdoba). “Diversidad genética en especies del género </w:t>
      </w:r>
      <w:r>
        <w:rPr>
          <w:rFonts w:ascii="Arial" w:eastAsia="Arial" w:hAnsi="Arial" w:cs="Arial"/>
          <w:i/>
          <w:iCs/>
          <w:sz w:val="22"/>
          <w:szCs w:val="22"/>
        </w:rPr>
        <w:t>Paspalum</w:t>
      </w:r>
      <w:r>
        <w:rPr>
          <w:rFonts w:ascii="Arial" w:eastAsia="Arial" w:hAnsi="Arial" w:cs="Arial"/>
          <w:sz w:val="22"/>
          <w:szCs w:val="22"/>
        </w:rPr>
        <w:t xml:space="preserve"> L. (Poaceae) con diferentes sistemas genéticos”.</w:t>
      </w:r>
    </w:p>
    <w:p w:rsidR="00731F54" w:rsidRDefault="00EB0055">
      <w:pPr>
        <w:pStyle w:val="LO-normal"/>
        <w:numPr>
          <w:ilvl w:val="0"/>
          <w:numId w:val="3"/>
        </w:numPr>
        <w:spacing w:line="276" w:lineRule="auto"/>
        <w:jc w:val="both"/>
        <w:rPr>
          <w:rFonts w:ascii="Arial" w:eastAsia="Arial" w:hAnsi="Arial" w:cs="Arial"/>
          <w:color w:val="000000"/>
          <w:sz w:val="22"/>
          <w:szCs w:val="22"/>
        </w:rPr>
      </w:pPr>
      <w:r>
        <w:rPr>
          <w:rFonts w:ascii="Arial" w:eastAsia="Arial" w:hAnsi="Arial" w:cs="Arial"/>
          <w:sz w:val="22"/>
          <w:szCs w:val="22"/>
        </w:rPr>
        <w:t xml:space="preserve">Florencia Budeguer (Universidad Nacional de Tucumán, ITANOA, EEAOC-CONICET). “Estrategias biotecnológicas para el manejo sustentable del insecto plaga </w:t>
      </w:r>
      <w:r>
        <w:rPr>
          <w:rFonts w:ascii="Arial" w:eastAsia="Arial" w:hAnsi="Arial" w:cs="Arial"/>
          <w:i/>
          <w:sz w:val="22"/>
          <w:szCs w:val="22"/>
        </w:rPr>
        <w:t>Diatraeasaccharalis</w:t>
      </w:r>
      <w:r>
        <w:rPr>
          <w:rFonts w:ascii="Arial" w:eastAsia="Arial" w:hAnsi="Arial" w:cs="Arial"/>
          <w:sz w:val="22"/>
          <w:szCs w:val="22"/>
        </w:rPr>
        <w:t xml:space="preserve"> en caña de azúcar”.</w:t>
      </w:r>
    </w:p>
    <w:p w:rsidR="00731F54" w:rsidRDefault="00731F54">
      <w:pPr>
        <w:pStyle w:val="LO-normal"/>
        <w:spacing w:line="276" w:lineRule="auto"/>
        <w:jc w:val="both"/>
        <w:rPr>
          <w:rFonts w:ascii="Arial" w:eastAsia="Arial" w:hAnsi="Arial" w:cs="Arial"/>
          <w:sz w:val="22"/>
          <w:szCs w:val="22"/>
        </w:rPr>
      </w:pP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ab/>
        <w:t>La sesión de pósters se realizó bajo la modalidad mixta “presencial - virtual”. Se expusieron los trabajos en pantallas gigantes y los autores pudieron comentar de manera resumida sus objetivos y resultados, además de responder preguntas. Quienes no pudieron asistir a Corrientes tuvieron la oportunidad de hacerlo mediante la plataforma Zoom de manera virtual. Los posters fueron agrupados por área en las siguientes temáticas:</w:t>
      </w:r>
    </w:p>
    <w:p w:rsidR="00731F54" w:rsidRDefault="00731F54">
      <w:pPr>
        <w:pStyle w:val="LO-normal"/>
        <w:spacing w:line="276" w:lineRule="auto"/>
        <w:jc w:val="both"/>
        <w:rPr>
          <w:rFonts w:ascii="Arial" w:eastAsia="Arial" w:hAnsi="Arial" w:cs="Arial"/>
          <w:color w:val="000000"/>
          <w:sz w:val="22"/>
          <w:szCs w:val="22"/>
        </w:rPr>
      </w:pP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-Citogenéitca (animal, humana y vegetal),</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-Farmacogenética,</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-Genómica y genética molecular,</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médica,</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de microorganismos,</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de poblaciones y evolución,</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(humana, vegetal),</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y educación,</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-Genética y mejoramiento animal,</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-Mejoramiento vegetal y</w:t>
      </w:r>
    </w:p>
    <w:p w:rsidR="00731F54" w:rsidRDefault="00EB0055">
      <w:pPr>
        <w:pStyle w:val="LO-normal"/>
        <w:spacing w:line="276" w:lineRule="auto"/>
        <w:jc w:val="both"/>
        <w:rPr>
          <w:rFonts w:ascii="Arial" w:eastAsia="Arial" w:hAnsi="Arial" w:cs="Arial"/>
          <w:color w:val="000000"/>
          <w:sz w:val="22"/>
          <w:szCs w:val="22"/>
        </w:rPr>
      </w:pPr>
      <w:r>
        <w:rPr>
          <w:rFonts w:ascii="Arial" w:eastAsia="Arial" w:hAnsi="Arial" w:cs="Arial"/>
          <w:color w:val="000000"/>
          <w:sz w:val="22"/>
          <w:szCs w:val="22"/>
        </w:rPr>
        <w:t>-Mutagénesis y carcinogénesis y teratogénesis ambiental.</w:t>
      </w:r>
    </w:p>
    <w:p w:rsidR="00731F54" w:rsidRDefault="00731F54">
      <w:pPr>
        <w:pStyle w:val="LO-normal"/>
        <w:spacing w:line="276" w:lineRule="auto"/>
        <w:ind w:firstLine="720"/>
        <w:jc w:val="both"/>
      </w:pPr>
    </w:p>
    <w:p w:rsidR="00731F54" w:rsidRDefault="00EB0055">
      <w:pPr>
        <w:pStyle w:val="LO-normal"/>
        <w:spacing w:line="276" w:lineRule="auto"/>
        <w:ind w:firstLine="720"/>
        <w:jc w:val="both"/>
      </w:pPr>
      <w:r>
        <w:rPr>
          <w:rFonts w:ascii="Arial" w:eastAsia="Arial" w:hAnsi="Arial" w:cs="Arial"/>
          <w:color w:val="000000"/>
          <w:sz w:val="22"/>
          <w:szCs w:val="22"/>
        </w:rPr>
        <w:t>Nuestro grupo presentó los pósters que se detallan a continuación, indicando el área correspondiente:</w:t>
      </w:r>
    </w:p>
    <w:p w:rsidR="00731F54" w:rsidRDefault="00EB0055">
      <w:pPr>
        <w:pStyle w:val="LO-normal"/>
        <w:spacing w:line="276" w:lineRule="auto"/>
        <w:jc w:val="both"/>
      </w:pPr>
      <w:r>
        <w:rPr>
          <w:rFonts w:ascii="Arial" w:eastAsia="Arial" w:hAnsi="Arial" w:cs="Arial"/>
          <w:color w:val="000000"/>
          <w:sz w:val="22"/>
          <w:szCs w:val="22"/>
        </w:rPr>
        <w:tab/>
      </w:r>
    </w:p>
    <w:p w:rsidR="00731F54" w:rsidRDefault="00EB0055">
      <w:pPr>
        <w:pStyle w:val="LO-normal"/>
        <w:numPr>
          <w:ilvl w:val="0"/>
          <w:numId w:val="4"/>
        </w:numPr>
        <w:spacing w:line="276" w:lineRule="auto"/>
        <w:jc w:val="both"/>
      </w:pPr>
      <w:r>
        <w:rPr>
          <w:rFonts w:ascii="Arial" w:eastAsia="Arial" w:hAnsi="Arial" w:cs="Arial"/>
          <w:sz w:val="22"/>
          <w:szCs w:val="22"/>
        </w:rPr>
        <w:t xml:space="preserve">Apilamiento de genes de resistencia a tres enfermedades de soja mediante selección asistida por marcadores moleculares. Rocha, C.M.L., G. Garcia, E. M. Pardo, A. Chiesa. </w:t>
      </w:r>
      <w:hyperlink r:id="rId8">
        <w:r>
          <w:rPr>
            <w:rFonts w:ascii="Arial" w:eastAsia="Arial" w:hAnsi="Arial" w:cs="Arial"/>
            <w:sz w:val="22"/>
            <w:szCs w:val="22"/>
          </w:rPr>
          <w:t>(Mejoramiento Vegetal).</w:t>
        </w:r>
      </w:hyperlink>
    </w:p>
    <w:p w:rsidR="00731F54" w:rsidRDefault="00731F54">
      <w:pPr>
        <w:pStyle w:val="LO-normal"/>
        <w:spacing w:line="276" w:lineRule="auto"/>
        <w:ind w:left="1080"/>
        <w:jc w:val="both"/>
        <w:rPr>
          <w:rFonts w:ascii="Arial" w:eastAsia="Arial" w:hAnsi="Arial" w:cs="Arial"/>
          <w:color w:val="000000"/>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 xml:space="preserve">Expresión diferencial de genes en respuesta a la inoculación con </w:t>
      </w:r>
      <w:r>
        <w:rPr>
          <w:rFonts w:ascii="Arial" w:eastAsia="Arial" w:hAnsi="Arial" w:cs="Arial"/>
          <w:i/>
          <w:iCs/>
          <w:sz w:val="22"/>
          <w:szCs w:val="22"/>
        </w:rPr>
        <w:t>Macrophominaphaseolina</w:t>
      </w:r>
      <w:r>
        <w:rPr>
          <w:rFonts w:ascii="Arial" w:eastAsia="Arial" w:hAnsi="Arial" w:cs="Arial"/>
          <w:sz w:val="22"/>
          <w:szCs w:val="22"/>
        </w:rPr>
        <w:t xml:space="preserve"> en genotipos de soja contrastantes. Pardo, E. M., S. Reznikov, J. Bleckwedel, A. Chiesa (Mejoramiento Vegeal) .</w:t>
      </w:r>
    </w:p>
    <w:p w:rsidR="00731F54" w:rsidRDefault="00731F54">
      <w:pPr>
        <w:pStyle w:val="LO-normal"/>
        <w:spacing w:line="276" w:lineRule="auto"/>
        <w:ind w:left="1080"/>
        <w:jc w:val="both"/>
        <w:rPr>
          <w:rFonts w:ascii="Arial" w:eastAsia="Arial" w:hAnsi="Arial" w:cs="Arial"/>
          <w:color w:val="000000"/>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Expresión diferencial de genes inducidos por la aplicación foliar de dos bioinsumospsp en soja. Trejo M.F., Toulet M.L., Chalfoun N.R., Filippone M.P., Welin B., Pardo E.M., Grellet-bournonville C.F (Mejoramiento Vegetal).</w:t>
      </w:r>
    </w:p>
    <w:p w:rsidR="00731F54" w:rsidRDefault="00731F54">
      <w:pPr>
        <w:pStyle w:val="LO-normal"/>
        <w:spacing w:line="276" w:lineRule="auto"/>
        <w:ind w:left="1080"/>
        <w:jc w:val="both"/>
        <w:rPr>
          <w:rFonts w:ascii="Arial" w:eastAsia="Arial" w:hAnsi="Arial" w:cs="Arial"/>
          <w:color w:val="000000"/>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Obtención de líneas transgénicas de caña de azúcar (</w:t>
      </w:r>
      <w:r>
        <w:rPr>
          <w:rFonts w:ascii="Arial" w:eastAsia="Arial" w:hAnsi="Arial" w:cs="Arial"/>
          <w:i/>
          <w:sz w:val="22"/>
          <w:szCs w:val="22"/>
        </w:rPr>
        <w:t>Saccharum</w:t>
      </w:r>
      <w:r>
        <w:rPr>
          <w:rFonts w:ascii="Arial" w:eastAsia="Arial" w:hAnsi="Arial" w:cs="Arial"/>
          <w:sz w:val="22"/>
          <w:szCs w:val="22"/>
        </w:rPr>
        <w:t xml:space="preserve">spp.) que expresan toxinas Bt para el manejo del insecto </w:t>
      </w:r>
      <w:r>
        <w:rPr>
          <w:rFonts w:ascii="Arial" w:eastAsia="Arial" w:hAnsi="Arial" w:cs="Arial"/>
          <w:i/>
          <w:sz w:val="22"/>
          <w:szCs w:val="22"/>
        </w:rPr>
        <w:t>D</w:t>
      </w:r>
      <w:r>
        <w:rPr>
          <w:rFonts w:ascii="Arial" w:eastAsia="Arial" w:hAnsi="Arial" w:cs="Arial"/>
          <w:sz w:val="22"/>
          <w:szCs w:val="22"/>
        </w:rPr>
        <w:t xml:space="preserve">. </w:t>
      </w:r>
      <w:r>
        <w:rPr>
          <w:rFonts w:ascii="Arial" w:eastAsia="Arial" w:hAnsi="Arial" w:cs="Arial"/>
          <w:i/>
          <w:sz w:val="22"/>
          <w:szCs w:val="22"/>
        </w:rPr>
        <w:t>saccharalis</w:t>
      </w:r>
      <w:r>
        <w:rPr>
          <w:rFonts w:ascii="Arial" w:eastAsia="Arial" w:hAnsi="Arial" w:cs="Arial"/>
          <w:sz w:val="22"/>
          <w:szCs w:val="22"/>
        </w:rPr>
        <w:t>. Budeguer F., J. Racedo, R. Enrique, M.F. Perera, S. Ostengo y A.S. Noguera. (Genómica y Genética Molecular)</w:t>
      </w:r>
    </w:p>
    <w:p w:rsidR="00731F54" w:rsidRDefault="00731F54">
      <w:pPr>
        <w:pStyle w:val="LO-normal"/>
        <w:spacing w:line="276" w:lineRule="auto"/>
        <w:ind w:left="1080"/>
        <w:jc w:val="both"/>
        <w:rPr>
          <w:rFonts w:ascii="Arial" w:eastAsia="Arial" w:hAnsi="Arial" w:cs="Arial"/>
          <w:color w:val="000000"/>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Obtención de líneas editadas en los alelos als de caña de azúcar (</w:t>
      </w:r>
      <w:r>
        <w:rPr>
          <w:rFonts w:ascii="Arial" w:eastAsia="Arial" w:hAnsi="Arial" w:cs="Arial"/>
          <w:i/>
          <w:sz w:val="22"/>
          <w:szCs w:val="22"/>
        </w:rPr>
        <w:t>Saccharum</w:t>
      </w:r>
      <w:r>
        <w:rPr>
          <w:rFonts w:ascii="Arial" w:eastAsia="Arial" w:hAnsi="Arial" w:cs="Arial"/>
          <w:sz w:val="22"/>
          <w:szCs w:val="22"/>
        </w:rPr>
        <w:t>spp.) que confieren resistencia a herbicidas. Budeguer F., A.S. Ostengo, A. Noguera, R. Enrique. (Genómica y Genética Molecular)</w:t>
      </w:r>
    </w:p>
    <w:p w:rsidR="00731F54" w:rsidRDefault="00731F54">
      <w:pPr>
        <w:pStyle w:val="LO-normal"/>
        <w:spacing w:line="276" w:lineRule="auto"/>
        <w:ind w:left="1080"/>
        <w:jc w:val="both"/>
        <w:rPr>
          <w:rFonts w:ascii="Arial" w:eastAsia="Arial" w:hAnsi="Arial" w:cs="Arial"/>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Diversidad genética y estructura poblacional en caña de azúcar. Perera M.F., Ostengo, S.; Ovejero, S.N.; Peña Malavera, A.; Balsalobre, T.W.A.;  Onorato, G.D.; Noguera, A.S.; Hoffman, H.P. y Sampaio Carneiro, M.</w:t>
      </w:r>
      <w:hyperlink r:id="rId9">
        <w:r>
          <w:rPr>
            <w:rFonts w:ascii="Arial" w:eastAsia="Arial" w:hAnsi="Arial" w:cs="Arial"/>
            <w:sz w:val="22"/>
            <w:szCs w:val="22"/>
          </w:rPr>
          <w:t>(Mejoramiento Vegetal).</w:t>
        </w:r>
      </w:hyperlink>
    </w:p>
    <w:p w:rsidR="00731F54" w:rsidRDefault="00731F54">
      <w:pPr>
        <w:pStyle w:val="LO-normal"/>
        <w:spacing w:line="276" w:lineRule="auto"/>
        <w:ind w:left="1080"/>
        <w:jc w:val="both"/>
        <w:rPr>
          <w:rFonts w:ascii="Arial" w:eastAsia="Arial" w:hAnsi="Arial" w:cs="Arial"/>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t>Diversidad genética de levaduras en el proceso de fermentación industrial de bioetanol de caña de azúcar en Tucumán, Argentina. Canseco Grellet M.A.; Dantur, K.I.; Perera, M.F.; Ahmed, P.M.; Castagnaro, A.P.; Welin, B. y Ruiz, R.M. (Genómica y Genética Molecular).</w:t>
      </w:r>
    </w:p>
    <w:p w:rsidR="00731F54" w:rsidRDefault="00731F54">
      <w:pPr>
        <w:pStyle w:val="LO-normal"/>
        <w:spacing w:line="276" w:lineRule="auto"/>
        <w:ind w:left="1080"/>
        <w:jc w:val="both"/>
        <w:rPr>
          <w:rFonts w:ascii="Arial" w:eastAsia="Arial" w:hAnsi="Arial" w:cs="Arial"/>
          <w:sz w:val="22"/>
          <w:szCs w:val="22"/>
        </w:rPr>
      </w:pPr>
    </w:p>
    <w:p w:rsidR="00731F54" w:rsidRDefault="00EB0055">
      <w:pPr>
        <w:pStyle w:val="LO-normal"/>
        <w:numPr>
          <w:ilvl w:val="0"/>
          <w:numId w:val="4"/>
        </w:numPr>
        <w:spacing w:line="276" w:lineRule="auto"/>
        <w:jc w:val="both"/>
      </w:pPr>
      <w:r>
        <w:rPr>
          <w:rFonts w:ascii="Arial" w:eastAsia="Arial" w:hAnsi="Arial" w:cs="Arial"/>
          <w:sz w:val="22"/>
          <w:szCs w:val="22"/>
        </w:rPr>
        <w:lastRenderedPageBreak/>
        <w:t>Selección genómica para características de interés en el mejoramiento genético de la caña de azúcar. Racedo J., E.A. Rossi, M. AybarGuchea, A.N. Peña Malavera, C. Bruno, M.F. Perera, A.S. Noguera, N. Bonamico, M. Balzarini, S. Ostengo</w:t>
      </w:r>
      <w:hyperlink r:id="rId10">
        <w:r>
          <w:rPr>
            <w:rFonts w:ascii="Arial" w:eastAsia="Arial" w:hAnsi="Arial" w:cs="Arial"/>
            <w:sz w:val="22"/>
            <w:szCs w:val="22"/>
          </w:rPr>
          <w:t>(Mejoramiento Vegetal).</w:t>
        </w:r>
      </w:hyperlink>
    </w:p>
    <w:p w:rsidR="00731F54" w:rsidRDefault="00EB0055">
      <w:pPr>
        <w:pStyle w:val="Ttulo3"/>
        <w:keepNext w:val="0"/>
        <w:keepLines w:val="0"/>
        <w:numPr>
          <w:ilvl w:val="0"/>
          <w:numId w:val="4"/>
        </w:numPr>
        <w:spacing w:line="276" w:lineRule="auto"/>
        <w:jc w:val="both"/>
      </w:pPr>
      <w:bookmarkStart w:id="1" w:name="_s03vfw5tducz"/>
      <w:bookmarkEnd w:id="1"/>
      <w:r>
        <w:rPr>
          <w:rFonts w:ascii="Arial" w:eastAsia="Arial" w:hAnsi="Arial" w:cs="Arial"/>
          <w:b w:val="0"/>
          <w:sz w:val="22"/>
          <w:szCs w:val="22"/>
        </w:rPr>
        <w:t>E</w:t>
      </w:r>
      <w:hyperlink r:id="rId11">
        <w:r>
          <w:rPr>
            <w:rFonts w:ascii="Arial" w:eastAsia="Arial" w:hAnsi="Arial" w:cs="Arial"/>
            <w:b w:val="0"/>
            <w:sz w:val="22"/>
            <w:szCs w:val="22"/>
          </w:rPr>
          <w:t>ficiencia de la selección genómica para maduración temprana en una población de mejoramiento de caña de azúcar (</w:t>
        </w:r>
      </w:hyperlink>
      <w:hyperlink r:id="rId12">
        <w:r>
          <w:rPr>
            <w:rFonts w:ascii="Arial" w:eastAsia="Arial" w:hAnsi="Arial" w:cs="Arial"/>
            <w:b w:val="0"/>
            <w:i/>
            <w:iCs/>
            <w:sz w:val="22"/>
            <w:szCs w:val="22"/>
          </w:rPr>
          <w:t>Saccharum</w:t>
        </w:r>
      </w:hyperlink>
      <w:hyperlink r:id="rId13">
        <w:r>
          <w:rPr>
            <w:rFonts w:ascii="Arial" w:eastAsia="Arial" w:hAnsi="Arial" w:cs="Arial"/>
            <w:b w:val="0"/>
            <w:sz w:val="22"/>
            <w:szCs w:val="22"/>
          </w:rPr>
          <w:t>spp.). Ostengo</w:t>
        </w:r>
      </w:hyperlink>
      <w:hyperlink r:id="rId14">
        <w:r>
          <w:rPr>
            <w:rFonts w:ascii="Arial" w:eastAsia="Arial" w:hAnsi="Arial" w:cs="Arial"/>
            <w:b w:val="0"/>
            <w:sz w:val="22"/>
            <w:szCs w:val="22"/>
          </w:rPr>
          <w:t>S.</w:t>
        </w:r>
      </w:hyperlink>
      <w:hyperlink r:id="rId15">
        <w:r>
          <w:rPr>
            <w:rFonts w:ascii="Arial" w:eastAsia="Arial" w:hAnsi="Arial" w:cs="Arial"/>
            <w:b w:val="0"/>
            <w:sz w:val="22"/>
            <w:szCs w:val="22"/>
          </w:rPr>
          <w:t xml:space="preserve">, </w:t>
        </w:r>
      </w:hyperlink>
      <w:hyperlink r:id="rId16">
        <w:r>
          <w:rPr>
            <w:rFonts w:ascii="Arial" w:eastAsia="Arial" w:hAnsi="Arial" w:cs="Arial"/>
            <w:b w:val="0"/>
            <w:sz w:val="22"/>
            <w:szCs w:val="22"/>
          </w:rPr>
          <w:t xml:space="preserve">Racedo, J., </w:t>
        </w:r>
      </w:hyperlink>
      <w:hyperlink r:id="rId17">
        <w:r>
          <w:rPr>
            <w:rFonts w:ascii="Arial" w:eastAsia="Arial" w:hAnsi="Arial" w:cs="Arial"/>
            <w:b w:val="0"/>
            <w:sz w:val="22"/>
            <w:szCs w:val="22"/>
          </w:rPr>
          <w:t>Balzarini</w:t>
        </w:r>
      </w:hyperlink>
      <w:hyperlink r:id="rId18"/>
      <w:hyperlink r:id="rId19">
        <w:r>
          <w:rPr>
            <w:rFonts w:ascii="Arial" w:eastAsia="Arial" w:hAnsi="Arial" w:cs="Arial"/>
            <w:b w:val="0"/>
            <w:sz w:val="22"/>
            <w:szCs w:val="22"/>
          </w:rPr>
          <w:t xml:space="preserve">M.G. </w:t>
        </w:r>
      </w:hyperlink>
      <w:hyperlink r:id="rId20">
        <w:r>
          <w:rPr>
            <w:rFonts w:ascii="Arial" w:eastAsia="Arial" w:hAnsi="Arial" w:cs="Arial"/>
            <w:b w:val="0"/>
            <w:sz w:val="22"/>
            <w:szCs w:val="22"/>
          </w:rPr>
          <w:t>(Mejoramiento Vegetal).</w:t>
        </w:r>
      </w:hyperlink>
    </w:p>
    <w:p w:rsidR="00731F54" w:rsidRDefault="00731F54">
      <w:pPr>
        <w:pStyle w:val="LO-normal"/>
        <w:ind w:left="720"/>
        <w:rPr>
          <w:rFonts w:ascii="Arial" w:eastAsia="Arial" w:hAnsi="Arial" w:cs="Arial"/>
          <w:sz w:val="22"/>
          <w:szCs w:val="22"/>
        </w:rPr>
      </w:pPr>
    </w:p>
    <w:p w:rsidR="00731F54" w:rsidRDefault="00EB0055">
      <w:pPr>
        <w:pStyle w:val="LO-normal"/>
        <w:spacing w:line="276" w:lineRule="auto"/>
        <w:ind w:firstLine="720"/>
        <w:jc w:val="both"/>
        <w:rPr>
          <w:rFonts w:ascii="Arial" w:eastAsia="Arial" w:hAnsi="Arial" w:cs="Arial"/>
          <w:sz w:val="22"/>
          <w:szCs w:val="22"/>
        </w:rPr>
      </w:pPr>
      <w:r>
        <w:rPr>
          <w:rFonts w:ascii="Arial" w:eastAsia="Arial" w:hAnsi="Arial" w:cs="Arial"/>
          <w:sz w:val="22"/>
          <w:szCs w:val="22"/>
        </w:rPr>
        <w:t>Merece destacar que el trabajo presentado por la Dra. Rocha, titulado “Apilamiento de genes de resistencia a tres enfermedades de soja mediante selección asistida por marcadores moleculares” ” fue seleccionado como mejor trabajo en la sección “Mejoramiento vegetal”. Esta área representó el 25% de los trabajos presentados al Congreso (51 pósters).</w:t>
      </w:r>
    </w:p>
    <w:p w:rsidR="00731F54" w:rsidRDefault="00EB0055">
      <w:pPr>
        <w:pStyle w:val="LO-normal"/>
        <w:spacing w:line="276" w:lineRule="auto"/>
        <w:ind w:firstLine="720"/>
        <w:jc w:val="both"/>
        <w:rPr>
          <w:rFonts w:ascii="Arial" w:eastAsia="Arial" w:hAnsi="Arial" w:cs="Arial"/>
          <w:sz w:val="22"/>
          <w:szCs w:val="22"/>
        </w:rPr>
      </w:pPr>
      <w:r>
        <w:rPr>
          <w:rFonts w:ascii="Arial" w:eastAsia="Arial" w:hAnsi="Arial" w:cs="Arial"/>
          <w:sz w:val="22"/>
          <w:szCs w:val="22"/>
        </w:rPr>
        <w:t>Por otro lado, como parte de la transferencia de las actividades realizadas en el Congreso, la Dra. Racedo brindó un seminario interno resumiendo su presentación en el Simposio como así también los aspectos más destacados del evento para el personal de la Sección Biotecnología.</w:t>
      </w:r>
    </w:p>
    <w:p w:rsidR="00731F54" w:rsidRDefault="00EB0055">
      <w:pPr>
        <w:pStyle w:val="LO-normal"/>
        <w:spacing w:line="276" w:lineRule="auto"/>
        <w:ind w:firstLine="720"/>
        <w:jc w:val="both"/>
        <w:rPr>
          <w:rFonts w:ascii="Arial" w:eastAsia="Arial" w:hAnsi="Arial" w:cs="Arial"/>
          <w:sz w:val="22"/>
          <w:szCs w:val="22"/>
        </w:rPr>
      </w:pPr>
      <w:r>
        <w:rPr>
          <w:rFonts w:ascii="Arial" w:eastAsia="Arial" w:hAnsi="Arial" w:cs="Arial"/>
          <w:sz w:val="22"/>
          <w:szCs w:val="22"/>
        </w:rPr>
        <w:t>Sin otro particular, y quedando a su disposición, le enviamos un cordial saludo.</w:t>
      </w:r>
    </w:p>
    <w:p w:rsidR="00731F54" w:rsidRDefault="00731F54">
      <w:pPr>
        <w:pStyle w:val="LO-normal"/>
        <w:spacing w:line="276" w:lineRule="auto"/>
        <w:ind w:firstLine="720"/>
        <w:jc w:val="both"/>
        <w:rPr>
          <w:rFonts w:ascii="Arial" w:eastAsia="Arial" w:hAnsi="Arial" w:cs="Arial"/>
          <w:sz w:val="22"/>
          <w:szCs w:val="22"/>
        </w:rPr>
      </w:pPr>
    </w:p>
    <w:p w:rsidR="00731F54" w:rsidRDefault="00731F54">
      <w:pPr>
        <w:pStyle w:val="LO-normal"/>
        <w:spacing w:line="276" w:lineRule="auto"/>
        <w:ind w:firstLine="720"/>
        <w:jc w:val="both"/>
      </w:pPr>
    </w:p>
    <w:sectPr w:rsidR="00731F54" w:rsidSect="00B2018A">
      <w:headerReference w:type="default" r:id="rId21"/>
      <w:footerReference w:type="default" r:id="rId22"/>
      <w:pgSz w:w="11906" w:h="16838"/>
      <w:pgMar w:top="2552" w:right="1195" w:bottom="1418" w:left="1150" w:header="709" w:footer="709"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42" w:rsidRDefault="00B01842">
      <w:r>
        <w:separator/>
      </w:r>
    </w:p>
  </w:endnote>
  <w:endnote w:type="continuationSeparator" w:id="1">
    <w:p w:rsidR="00B01842" w:rsidRDefault="00B01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54" w:rsidRDefault="00731F54">
    <w:pPr>
      <w:pStyle w:val="LO-normal"/>
      <w:tabs>
        <w:tab w:val="center" w:pos="4252"/>
        <w:tab w:val="right" w:pos="8504"/>
      </w:tabs>
      <w:rPr>
        <w:rFonts w:eastAsia="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42" w:rsidRDefault="00B01842">
      <w:r>
        <w:separator/>
      </w:r>
    </w:p>
  </w:footnote>
  <w:footnote w:type="continuationSeparator" w:id="1">
    <w:p w:rsidR="00B01842" w:rsidRDefault="00B0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54" w:rsidRDefault="00EB0055">
    <w:pPr>
      <w:pStyle w:val="LO-normal"/>
      <w:tabs>
        <w:tab w:val="center" w:pos="4252"/>
        <w:tab w:val="right" w:pos="8504"/>
      </w:tabs>
      <w:rPr>
        <w:rFonts w:eastAsia="Times New Roman" w:cs="Times New Roman"/>
        <w:color w:val="000000"/>
        <w:sz w:val="17"/>
        <w:szCs w:val="17"/>
      </w:rPr>
    </w:pPr>
    <w:r>
      <w:rPr>
        <w:noProof/>
        <w:lang w:val="es-ES" w:eastAsia="es-ES" w:bidi="ar-SA"/>
      </w:rPr>
      <w:drawing>
        <wp:anchor distT="0" distB="0" distL="0" distR="0" simplePos="0" relativeHeight="251657216" behindDoc="1" locked="0" layoutInCell="0" allowOverlap="1">
          <wp:simplePos x="0" y="0"/>
          <wp:positionH relativeFrom="column">
            <wp:posOffset>-44450</wp:posOffset>
          </wp:positionH>
          <wp:positionV relativeFrom="paragraph">
            <wp:posOffset>-139065</wp:posOffset>
          </wp:positionV>
          <wp:extent cx="6108065" cy="70358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rcRect l="-10" t="-89" r="-10" b="-89"/>
                  <a:stretch>
                    <a:fillRect/>
                  </a:stretch>
                </pic:blipFill>
                <pic:spPr bwMode="auto">
                  <a:xfrm>
                    <a:off x="0" y="0"/>
                    <a:ext cx="6108065" cy="703580"/>
                  </a:xfrm>
                  <a:prstGeom prst="rect">
                    <a:avLst/>
                  </a:prstGeom>
                </pic:spPr>
              </pic:pic>
            </a:graphicData>
          </a:graphic>
        </wp:anchor>
      </w:drawing>
    </w:r>
    <w:r>
      <w:rPr>
        <w:noProof/>
        <w:lang w:val="es-ES" w:eastAsia="es-ES" w:bidi="ar-SA"/>
      </w:rPr>
      <w:drawing>
        <wp:inline distT="0" distB="0" distL="0" distR="0">
          <wp:extent cx="1595120" cy="816610"/>
          <wp:effectExtent l="0" t="0" r="0" b="0"/>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2"/>
                  <a:srcRect l="-19" t="-36" r="-19" b="-36"/>
                  <a:stretch>
                    <a:fillRect/>
                  </a:stretch>
                </pic:blipFill>
                <pic:spPr bwMode="auto">
                  <a:xfrm>
                    <a:off x="0" y="0"/>
                    <a:ext cx="1595120" cy="816610"/>
                  </a:xfrm>
                  <a:prstGeom prst="rect">
                    <a:avLst/>
                  </a:prstGeom>
                </pic:spPr>
              </pic:pic>
            </a:graphicData>
          </a:graphic>
        </wp:inline>
      </w:drawing>
    </w:r>
    <w:r w:rsidR="00B2018A" w:rsidRPr="00B2018A">
      <w:rPr>
        <w:noProof/>
        <w:lang w:val="es-AR" w:eastAsia="es-AR" w:bidi="ar-SA"/>
      </w:rPr>
      <w:pict>
        <v:line id="4 Conector recto" o:spid="_x0000_s2049" style="position:absolute;z-index:251658240;mso-position-horizontal-relative:text;mso-position-vertical-relative:text" from="-1.2pt,68.65pt" to="445.2pt,68.65pt" o:allowincell="f" strokecolor="green" strokeweight=".71mm">
          <v:fill o:detectmouseclick="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B7C"/>
    <w:multiLevelType w:val="multilevel"/>
    <w:tmpl w:val="CC80029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nsid w:val="0BD82192"/>
    <w:multiLevelType w:val="multilevel"/>
    <w:tmpl w:val="246CC5E0"/>
    <w:lvl w:ilvl="0">
      <w:start w:val="1"/>
      <w:numFmt w:val="bullet"/>
      <w:lvlText w:val=""/>
      <w:lvlJc w:val="left"/>
      <w:pPr>
        <w:tabs>
          <w:tab w:val="num" w:pos="1501"/>
        </w:tabs>
        <w:ind w:left="1501" w:hanging="360"/>
      </w:pPr>
      <w:rPr>
        <w:rFonts w:ascii="Symbol" w:hAnsi="Symbol" w:cs="Symbol" w:hint="default"/>
      </w:rPr>
    </w:lvl>
    <w:lvl w:ilvl="1">
      <w:start w:val="1"/>
      <w:numFmt w:val="bullet"/>
      <w:lvlText w:val="◦"/>
      <w:lvlJc w:val="left"/>
      <w:pPr>
        <w:tabs>
          <w:tab w:val="num" w:pos="1861"/>
        </w:tabs>
        <w:ind w:left="1861" w:hanging="360"/>
      </w:pPr>
      <w:rPr>
        <w:rFonts w:ascii="OpenSymbol" w:hAnsi="OpenSymbol" w:cs="OpenSymbol" w:hint="default"/>
      </w:rPr>
    </w:lvl>
    <w:lvl w:ilvl="2">
      <w:start w:val="1"/>
      <w:numFmt w:val="bullet"/>
      <w:lvlText w:val="▪"/>
      <w:lvlJc w:val="left"/>
      <w:pPr>
        <w:tabs>
          <w:tab w:val="num" w:pos="2221"/>
        </w:tabs>
        <w:ind w:left="2221" w:hanging="360"/>
      </w:pPr>
      <w:rPr>
        <w:rFonts w:ascii="OpenSymbol" w:hAnsi="OpenSymbol" w:cs="OpenSymbol" w:hint="default"/>
      </w:rPr>
    </w:lvl>
    <w:lvl w:ilvl="3">
      <w:start w:val="1"/>
      <w:numFmt w:val="bullet"/>
      <w:lvlText w:val=""/>
      <w:lvlJc w:val="left"/>
      <w:pPr>
        <w:tabs>
          <w:tab w:val="num" w:pos="2581"/>
        </w:tabs>
        <w:ind w:left="2581" w:hanging="360"/>
      </w:pPr>
      <w:rPr>
        <w:rFonts w:ascii="Symbol" w:hAnsi="Symbol" w:cs="Symbol" w:hint="default"/>
      </w:rPr>
    </w:lvl>
    <w:lvl w:ilvl="4">
      <w:start w:val="1"/>
      <w:numFmt w:val="bullet"/>
      <w:lvlText w:val="◦"/>
      <w:lvlJc w:val="left"/>
      <w:pPr>
        <w:tabs>
          <w:tab w:val="num" w:pos="2941"/>
        </w:tabs>
        <w:ind w:left="2941" w:hanging="360"/>
      </w:pPr>
      <w:rPr>
        <w:rFonts w:ascii="OpenSymbol" w:hAnsi="OpenSymbol" w:cs="OpenSymbol" w:hint="default"/>
      </w:rPr>
    </w:lvl>
    <w:lvl w:ilvl="5">
      <w:start w:val="1"/>
      <w:numFmt w:val="bullet"/>
      <w:lvlText w:val="▪"/>
      <w:lvlJc w:val="left"/>
      <w:pPr>
        <w:tabs>
          <w:tab w:val="num" w:pos="3301"/>
        </w:tabs>
        <w:ind w:left="3301" w:hanging="360"/>
      </w:pPr>
      <w:rPr>
        <w:rFonts w:ascii="OpenSymbol" w:hAnsi="OpenSymbol" w:cs="OpenSymbol" w:hint="default"/>
      </w:rPr>
    </w:lvl>
    <w:lvl w:ilvl="6">
      <w:start w:val="1"/>
      <w:numFmt w:val="bullet"/>
      <w:lvlText w:val=""/>
      <w:lvlJc w:val="left"/>
      <w:pPr>
        <w:tabs>
          <w:tab w:val="num" w:pos="3661"/>
        </w:tabs>
        <w:ind w:left="3661" w:hanging="360"/>
      </w:pPr>
      <w:rPr>
        <w:rFonts w:ascii="Symbol" w:hAnsi="Symbol" w:cs="Symbol" w:hint="default"/>
      </w:rPr>
    </w:lvl>
    <w:lvl w:ilvl="7">
      <w:start w:val="1"/>
      <w:numFmt w:val="bullet"/>
      <w:lvlText w:val="◦"/>
      <w:lvlJc w:val="left"/>
      <w:pPr>
        <w:tabs>
          <w:tab w:val="num" w:pos="4021"/>
        </w:tabs>
        <w:ind w:left="4021" w:hanging="360"/>
      </w:pPr>
      <w:rPr>
        <w:rFonts w:ascii="OpenSymbol" w:hAnsi="OpenSymbol" w:cs="OpenSymbol" w:hint="default"/>
      </w:rPr>
    </w:lvl>
    <w:lvl w:ilvl="8">
      <w:start w:val="1"/>
      <w:numFmt w:val="bullet"/>
      <w:lvlText w:val="▪"/>
      <w:lvlJc w:val="left"/>
      <w:pPr>
        <w:tabs>
          <w:tab w:val="num" w:pos="4381"/>
        </w:tabs>
        <w:ind w:left="4381" w:hanging="360"/>
      </w:pPr>
      <w:rPr>
        <w:rFonts w:ascii="OpenSymbol" w:hAnsi="OpenSymbol" w:cs="OpenSymbol" w:hint="default"/>
      </w:rPr>
    </w:lvl>
  </w:abstractNum>
  <w:abstractNum w:abstractNumId="2">
    <w:nsid w:val="163E0B5D"/>
    <w:multiLevelType w:val="multilevel"/>
    <w:tmpl w:val="363E39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CFE0B60"/>
    <w:multiLevelType w:val="multilevel"/>
    <w:tmpl w:val="1396B7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B265089"/>
    <w:multiLevelType w:val="multilevel"/>
    <w:tmpl w:val="C0643D46"/>
    <w:lvl w:ilvl="0">
      <w:start w:val="1"/>
      <w:numFmt w:val="bullet"/>
      <w:lvlText w:val=""/>
      <w:lvlJc w:val="left"/>
      <w:pPr>
        <w:tabs>
          <w:tab w:val="num" w:pos="1503"/>
        </w:tabs>
        <w:ind w:left="1503" w:hanging="360"/>
      </w:pPr>
      <w:rPr>
        <w:rFonts w:ascii="Symbol" w:hAnsi="Symbol" w:cs="Symbol" w:hint="default"/>
      </w:rPr>
    </w:lvl>
    <w:lvl w:ilvl="1">
      <w:start w:val="1"/>
      <w:numFmt w:val="bullet"/>
      <w:lvlText w:val="◦"/>
      <w:lvlJc w:val="left"/>
      <w:pPr>
        <w:tabs>
          <w:tab w:val="num" w:pos="1863"/>
        </w:tabs>
        <w:ind w:left="1863" w:hanging="360"/>
      </w:pPr>
      <w:rPr>
        <w:rFonts w:ascii="OpenSymbol" w:hAnsi="OpenSymbol" w:cs="OpenSymbol" w:hint="default"/>
      </w:rPr>
    </w:lvl>
    <w:lvl w:ilvl="2">
      <w:start w:val="1"/>
      <w:numFmt w:val="bullet"/>
      <w:lvlText w:val="▪"/>
      <w:lvlJc w:val="left"/>
      <w:pPr>
        <w:tabs>
          <w:tab w:val="num" w:pos="2223"/>
        </w:tabs>
        <w:ind w:left="2223" w:hanging="360"/>
      </w:pPr>
      <w:rPr>
        <w:rFonts w:ascii="OpenSymbol" w:hAnsi="OpenSymbol" w:cs="OpenSymbol" w:hint="default"/>
      </w:rPr>
    </w:lvl>
    <w:lvl w:ilvl="3">
      <w:start w:val="1"/>
      <w:numFmt w:val="bullet"/>
      <w:lvlText w:val=""/>
      <w:lvlJc w:val="left"/>
      <w:pPr>
        <w:tabs>
          <w:tab w:val="num" w:pos="2583"/>
        </w:tabs>
        <w:ind w:left="2583" w:hanging="360"/>
      </w:pPr>
      <w:rPr>
        <w:rFonts w:ascii="Symbol" w:hAnsi="Symbol" w:cs="Symbol" w:hint="default"/>
      </w:rPr>
    </w:lvl>
    <w:lvl w:ilvl="4">
      <w:start w:val="1"/>
      <w:numFmt w:val="bullet"/>
      <w:lvlText w:val="◦"/>
      <w:lvlJc w:val="left"/>
      <w:pPr>
        <w:tabs>
          <w:tab w:val="num" w:pos="2943"/>
        </w:tabs>
        <w:ind w:left="2943" w:hanging="360"/>
      </w:pPr>
      <w:rPr>
        <w:rFonts w:ascii="OpenSymbol" w:hAnsi="OpenSymbol" w:cs="OpenSymbol" w:hint="default"/>
      </w:rPr>
    </w:lvl>
    <w:lvl w:ilvl="5">
      <w:start w:val="1"/>
      <w:numFmt w:val="bullet"/>
      <w:lvlText w:val="▪"/>
      <w:lvlJc w:val="left"/>
      <w:pPr>
        <w:tabs>
          <w:tab w:val="num" w:pos="3303"/>
        </w:tabs>
        <w:ind w:left="3303" w:hanging="360"/>
      </w:pPr>
      <w:rPr>
        <w:rFonts w:ascii="OpenSymbol" w:hAnsi="OpenSymbol" w:cs="OpenSymbol" w:hint="default"/>
      </w:rPr>
    </w:lvl>
    <w:lvl w:ilvl="6">
      <w:start w:val="1"/>
      <w:numFmt w:val="bullet"/>
      <w:lvlText w:val=""/>
      <w:lvlJc w:val="left"/>
      <w:pPr>
        <w:tabs>
          <w:tab w:val="num" w:pos="3663"/>
        </w:tabs>
        <w:ind w:left="3663" w:hanging="360"/>
      </w:pPr>
      <w:rPr>
        <w:rFonts w:ascii="Symbol" w:hAnsi="Symbol" w:cs="Symbol" w:hint="default"/>
      </w:rPr>
    </w:lvl>
    <w:lvl w:ilvl="7">
      <w:start w:val="1"/>
      <w:numFmt w:val="bullet"/>
      <w:lvlText w:val="◦"/>
      <w:lvlJc w:val="left"/>
      <w:pPr>
        <w:tabs>
          <w:tab w:val="num" w:pos="4023"/>
        </w:tabs>
        <w:ind w:left="4023" w:hanging="360"/>
      </w:pPr>
      <w:rPr>
        <w:rFonts w:ascii="OpenSymbol" w:hAnsi="OpenSymbol" w:cs="OpenSymbol" w:hint="default"/>
      </w:rPr>
    </w:lvl>
    <w:lvl w:ilvl="8">
      <w:start w:val="1"/>
      <w:numFmt w:val="bullet"/>
      <w:lvlText w:val="▪"/>
      <w:lvlJc w:val="left"/>
      <w:pPr>
        <w:tabs>
          <w:tab w:val="num" w:pos="4383"/>
        </w:tabs>
        <w:ind w:left="4383" w:hanging="360"/>
      </w:pPr>
      <w:rPr>
        <w:rFonts w:ascii="OpenSymbol" w:hAnsi="OpenSymbol" w:cs="Open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autoHyphenation/>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31F54"/>
    <w:rsid w:val="0000243B"/>
    <w:rsid w:val="005F19A3"/>
    <w:rsid w:val="00731F54"/>
    <w:rsid w:val="00B01842"/>
    <w:rsid w:val="00B2018A"/>
    <w:rsid w:val="00EB00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oto Serif CJK SC" w:hAnsi="Times New Roman" w:cs="Lohit Devanagari"/>
        <w:sz w:val="24"/>
        <w:szCs w:val="24"/>
        <w:lang w:val="es-MX"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8A"/>
  </w:style>
  <w:style w:type="paragraph" w:styleId="Ttulo1">
    <w:name w:val="heading 1"/>
    <w:basedOn w:val="LO-normal"/>
    <w:next w:val="LO-normal"/>
    <w:qFormat/>
    <w:rsid w:val="00B2018A"/>
    <w:pPr>
      <w:keepNext/>
      <w:keepLines/>
      <w:spacing w:before="480" w:after="120"/>
      <w:outlineLvl w:val="0"/>
    </w:pPr>
    <w:rPr>
      <w:b/>
      <w:sz w:val="48"/>
      <w:szCs w:val="48"/>
    </w:rPr>
  </w:style>
  <w:style w:type="paragraph" w:styleId="Ttulo2">
    <w:name w:val="heading 2"/>
    <w:basedOn w:val="LO-normal"/>
    <w:next w:val="LO-normal"/>
    <w:qFormat/>
    <w:rsid w:val="00B2018A"/>
    <w:pPr>
      <w:keepNext/>
      <w:keepLines/>
      <w:spacing w:before="360" w:after="80"/>
      <w:outlineLvl w:val="1"/>
    </w:pPr>
    <w:rPr>
      <w:b/>
      <w:sz w:val="36"/>
      <w:szCs w:val="36"/>
    </w:rPr>
  </w:style>
  <w:style w:type="paragraph" w:styleId="Ttulo3">
    <w:name w:val="heading 3"/>
    <w:basedOn w:val="LO-normal"/>
    <w:next w:val="LO-normal"/>
    <w:qFormat/>
    <w:rsid w:val="00B2018A"/>
    <w:pPr>
      <w:keepNext/>
      <w:keepLines/>
      <w:spacing w:before="280" w:after="80"/>
      <w:outlineLvl w:val="2"/>
    </w:pPr>
    <w:rPr>
      <w:b/>
      <w:sz w:val="28"/>
      <w:szCs w:val="28"/>
    </w:rPr>
  </w:style>
  <w:style w:type="paragraph" w:styleId="Ttulo4">
    <w:name w:val="heading 4"/>
    <w:basedOn w:val="LO-normal"/>
    <w:next w:val="LO-normal"/>
    <w:qFormat/>
    <w:rsid w:val="00B2018A"/>
    <w:pPr>
      <w:keepNext/>
      <w:keepLines/>
      <w:spacing w:before="240" w:after="40"/>
      <w:outlineLvl w:val="3"/>
    </w:pPr>
    <w:rPr>
      <w:b/>
    </w:rPr>
  </w:style>
  <w:style w:type="paragraph" w:styleId="Ttulo5">
    <w:name w:val="heading 5"/>
    <w:basedOn w:val="LO-normal"/>
    <w:next w:val="LO-normal"/>
    <w:qFormat/>
    <w:rsid w:val="00B2018A"/>
    <w:pPr>
      <w:keepNext/>
      <w:keepLines/>
      <w:spacing w:before="220" w:after="40"/>
      <w:outlineLvl w:val="4"/>
    </w:pPr>
    <w:rPr>
      <w:b/>
      <w:sz w:val="22"/>
      <w:szCs w:val="22"/>
    </w:rPr>
  </w:style>
  <w:style w:type="paragraph" w:styleId="Ttulo6">
    <w:name w:val="heading 6"/>
    <w:basedOn w:val="LO-normal"/>
    <w:next w:val="LO-normal"/>
    <w:qFormat/>
    <w:rsid w:val="00B201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B2018A"/>
    <w:rPr>
      <w:color w:val="000080"/>
      <w:u w:val="single"/>
    </w:rPr>
  </w:style>
  <w:style w:type="character" w:customStyle="1" w:styleId="Numeracinderenglones">
    <w:name w:val="Numeración de renglones"/>
    <w:rsid w:val="00B2018A"/>
  </w:style>
  <w:style w:type="character" w:customStyle="1" w:styleId="Vietas">
    <w:name w:val="Viñetas"/>
    <w:qFormat/>
    <w:rsid w:val="00B2018A"/>
    <w:rPr>
      <w:rFonts w:ascii="OpenSymbol" w:eastAsia="OpenSymbol" w:hAnsi="OpenSymbol" w:cs="OpenSymbol"/>
    </w:rPr>
  </w:style>
  <w:style w:type="character" w:customStyle="1" w:styleId="TextodegloboCar">
    <w:name w:val="Texto de globo Car"/>
    <w:basedOn w:val="Fuentedeprrafopredeter"/>
    <w:link w:val="Textodeglobo"/>
    <w:uiPriority w:val="99"/>
    <w:semiHidden/>
    <w:qFormat/>
    <w:rsid w:val="00580C46"/>
    <w:rPr>
      <w:rFonts w:ascii="Tahoma" w:hAnsi="Tahoma" w:cs="Mangal"/>
      <w:sz w:val="16"/>
      <w:szCs w:val="14"/>
    </w:rPr>
  </w:style>
  <w:style w:type="paragraph" w:styleId="Ttulo">
    <w:name w:val="Title"/>
    <w:basedOn w:val="LO-normal"/>
    <w:next w:val="Textoindependiente"/>
    <w:qFormat/>
    <w:rsid w:val="00B2018A"/>
    <w:pPr>
      <w:keepNext/>
      <w:keepLines/>
      <w:spacing w:before="480" w:after="120"/>
    </w:pPr>
    <w:rPr>
      <w:b/>
      <w:sz w:val="72"/>
      <w:szCs w:val="72"/>
    </w:rPr>
  </w:style>
  <w:style w:type="paragraph" w:styleId="Textoindependiente">
    <w:name w:val="Body Text"/>
    <w:basedOn w:val="Normal"/>
    <w:rsid w:val="00B2018A"/>
    <w:pPr>
      <w:spacing w:after="140" w:line="276" w:lineRule="auto"/>
    </w:pPr>
  </w:style>
  <w:style w:type="paragraph" w:styleId="Lista">
    <w:name w:val="List"/>
    <w:basedOn w:val="Textoindependiente"/>
    <w:rsid w:val="00B2018A"/>
  </w:style>
  <w:style w:type="paragraph" w:styleId="Epgrafe">
    <w:name w:val="caption"/>
    <w:basedOn w:val="Normal"/>
    <w:qFormat/>
    <w:rsid w:val="00B2018A"/>
    <w:pPr>
      <w:suppressLineNumbers/>
      <w:spacing w:before="120" w:after="120"/>
    </w:pPr>
    <w:rPr>
      <w:i/>
      <w:iCs/>
    </w:rPr>
  </w:style>
  <w:style w:type="paragraph" w:customStyle="1" w:styleId="ndice">
    <w:name w:val="Índice"/>
    <w:basedOn w:val="Normal"/>
    <w:qFormat/>
    <w:rsid w:val="00B2018A"/>
    <w:pPr>
      <w:suppressLineNumbers/>
    </w:pPr>
  </w:style>
  <w:style w:type="paragraph" w:customStyle="1" w:styleId="LO-normal">
    <w:name w:val="LO-normal"/>
    <w:qFormat/>
    <w:rsid w:val="00B2018A"/>
  </w:style>
  <w:style w:type="paragraph" w:styleId="Subttulo">
    <w:name w:val="Subtitle"/>
    <w:basedOn w:val="LO-normal"/>
    <w:next w:val="LO-normal"/>
    <w:qFormat/>
    <w:rsid w:val="00B2018A"/>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rsid w:val="00B2018A"/>
  </w:style>
  <w:style w:type="paragraph" w:styleId="Encabezado">
    <w:name w:val="header"/>
    <w:basedOn w:val="Cabeceraypie"/>
    <w:rsid w:val="00B2018A"/>
  </w:style>
  <w:style w:type="paragraph" w:styleId="Piedepgina">
    <w:name w:val="footer"/>
    <w:basedOn w:val="Cabeceraypie"/>
    <w:rsid w:val="00B2018A"/>
  </w:style>
  <w:style w:type="paragraph" w:styleId="Textodeglobo">
    <w:name w:val="Balloon Text"/>
    <w:basedOn w:val="Normal"/>
    <w:link w:val="TextodegloboCar"/>
    <w:uiPriority w:val="99"/>
    <w:semiHidden/>
    <w:unhideWhenUsed/>
    <w:qFormat/>
    <w:rsid w:val="00580C46"/>
    <w:rPr>
      <w:rFonts w:ascii="Tahoma" w:hAnsi="Tahoma" w:cs="Mangal"/>
      <w:sz w:val="16"/>
      <w:szCs w:val="14"/>
    </w:rPr>
  </w:style>
  <w:style w:type="table" w:customStyle="1" w:styleId="TableNormal">
    <w:name w:val="Table Normal"/>
    <w:rsid w:val="00B2018A"/>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sz w:val="24"/>
        <w:szCs w:val="24"/>
        <w:lang w:val="es-MX"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b/>
      <w:sz w:val="48"/>
      <w:szCs w:val="48"/>
    </w:rPr>
  </w:style>
  <w:style w:type="paragraph" w:styleId="Ttulo2">
    <w:name w:val="heading 2"/>
    <w:basedOn w:val="LO-normal"/>
    <w:next w:val="LO-normal"/>
    <w:qFormat/>
    <w:pPr>
      <w:keepNext/>
      <w:keepLines/>
      <w:spacing w:before="360" w:after="80"/>
      <w:outlineLvl w:val="1"/>
    </w:pPr>
    <w:rPr>
      <w:b/>
      <w:sz w:val="36"/>
      <w:szCs w:val="36"/>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Numeracinderenglones">
    <w:name w:val="Numeración de renglones"/>
  </w:style>
  <w:style w:type="character" w:customStyle="1" w:styleId="Vietas">
    <w:name w:val="Viñetas"/>
    <w:qFormat/>
    <w:rPr>
      <w:rFonts w:ascii="OpenSymbol" w:eastAsia="OpenSymbol" w:hAnsi="OpenSymbol" w:cs="OpenSymbol"/>
    </w:rPr>
  </w:style>
  <w:style w:type="character" w:customStyle="1" w:styleId="TextodegloboCar">
    <w:name w:val="Texto de globo Car"/>
    <w:basedOn w:val="Fuentedeprrafopredeter"/>
    <w:link w:val="Textodeglobo"/>
    <w:uiPriority w:val="99"/>
    <w:semiHidden/>
    <w:qFormat/>
    <w:rsid w:val="00580C46"/>
    <w:rPr>
      <w:rFonts w:ascii="Tahoma" w:hAnsi="Tahoma" w:cs="Mangal"/>
      <w:sz w:val="16"/>
      <w:szCs w:val="14"/>
    </w:rPr>
  </w:style>
  <w:style w:type="paragraph" w:styleId="Ttulo">
    <w:name w:val="Title"/>
    <w:basedOn w:val="LO-normal"/>
    <w:next w:val="Textoindependiente"/>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80C46"/>
    <w:rPr>
      <w:rFonts w:ascii="Tahoma" w:hAnsi="Tahoma" w:cs="Mangal"/>
      <w:sz w:val="16"/>
      <w:szCs w:val="14"/>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ag.org.ar/congreso2022/2022/09/28/eficiencia-de-la-seleccion-genomica-para-maduracion-temprana-en-una-poblacion-de-mejoramiento-de-cana-de-azucar-saccharum-spp/" TargetMode="External"/><Relationship Id="rId13" Type="http://schemas.openxmlformats.org/officeDocument/2006/relationships/hyperlink" Target="https://sag.org.ar/congreso2022/2022/09/28/eficiencia-de-la-seleccion-genomica-para-maduracion-temprana-en-una-poblacion-de-mejoramiento-de-cana-de-azucar-saccharum-spp/" TargetMode="External"/><Relationship Id="rId18" Type="http://schemas.openxmlformats.org/officeDocument/2006/relationships/hyperlink" Target="https://sag.org.ar/congreso2022/2022/09/28/eficiencia-de-la-seleccion-genomica-para-maduracion-temprana-en-una-poblacion-de-mejoramiento-de-cana-de-azucar-saccharum-sp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sag.org.ar/congreso2022/2022/09/28/eficiencia-de-la-seleccion-genomica-para-maduracion-temprana-en-una-poblacion-de-mejoramiento-de-cana-de-azucar-saccharum-spp/" TargetMode="External"/><Relationship Id="rId17" Type="http://schemas.openxmlformats.org/officeDocument/2006/relationships/hyperlink" Target="https://sag.org.ar/congreso2022/2022/09/28/eficiencia-de-la-seleccion-genomica-para-maduracion-temprana-en-una-poblacion-de-mejoramiento-de-cana-de-azucar-saccharum-spp/"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sag.org.ar/congreso2022/2022/09/28/eficiencia-de-la-seleccion-genomica-para-maduracion-temprana-en-una-poblacion-de-mejoramiento-de-cana-de-azucar-saccharum-spp/" TargetMode="External"/><Relationship Id="rId20" Type="http://schemas.openxmlformats.org/officeDocument/2006/relationships/hyperlink" Target="https://sag.org.ar/congreso2022/2022/09/28/eficiencia-de-la-seleccion-genomica-para-maduracion-temprana-en-una-poblacion-de-mejoramiento-de-cana-de-azucar-saccharum-s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g.org.ar/congreso2022/2022/09/28/eficiencia-de-la-seleccion-genomica-para-maduracion-temprana-en-una-poblacion-de-mejoramiento-de-cana-de-azucar-saccharum-sp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g.org.ar/congreso2022/2022/09/28/eficiencia-de-la-seleccion-genomica-para-maduracion-temprana-en-una-poblacion-de-mejoramiento-de-cana-de-azucar-saccharum-spp/" TargetMode="External"/><Relationship Id="rId23" Type="http://schemas.openxmlformats.org/officeDocument/2006/relationships/fontTable" Target="fontTable.xml"/><Relationship Id="rId10" Type="http://schemas.openxmlformats.org/officeDocument/2006/relationships/hyperlink" Target="https://sag.org.ar/congreso2022/2022/09/28/eficiencia-de-la-seleccion-genomica-para-maduracion-temprana-en-una-poblacion-de-mejoramiento-de-cana-de-azucar-saccharum-spp/" TargetMode="External"/><Relationship Id="rId19" Type="http://schemas.openxmlformats.org/officeDocument/2006/relationships/hyperlink" Target="https://sag.org.ar/congreso2022/2022/09/28/eficiencia-de-la-seleccion-genomica-para-maduracion-temprana-en-una-poblacion-de-mejoramiento-de-cana-de-azucar-saccharum-spp/" TargetMode="External"/><Relationship Id="rId4" Type="http://schemas.openxmlformats.org/officeDocument/2006/relationships/webSettings" Target="webSettings.xml"/><Relationship Id="rId9" Type="http://schemas.openxmlformats.org/officeDocument/2006/relationships/hyperlink" Target="https://sag.org.ar/congreso2022/2022/09/28/eficiencia-de-la-seleccion-genomica-para-maduracion-temprana-en-una-poblacion-de-mejoramiento-de-cana-de-azucar-saccharum-spp/" TargetMode="External"/><Relationship Id="rId14" Type="http://schemas.openxmlformats.org/officeDocument/2006/relationships/hyperlink" Target="https://sag.org.ar/congreso2022/2022/09/28/eficiencia-de-la-seleccion-genomica-para-maduracion-temprana-en-una-poblacion-de-mejoramiento-de-cana-de-azucar-saccharum-sp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1510</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NOGUERA, Aldo Noguera</dc:creator>
  <cp:lastModifiedBy>msburgos</cp:lastModifiedBy>
  <cp:revision>2</cp:revision>
  <dcterms:created xsi:type="dcterms:W3CDTF">2022-11-04T13:25:00Z</dcterms:created>
  <dcterms:modified xsi:type="dcterms:W3CDTF">2022-11-04T13:25:00Z</dcterms:modified>
  <dc:language>es-AR</dc:language>
</cp:coreProperties>
</file>